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077" w:rsidRPr="007528AC" w:rsidRDefault="00700077" w:rsidP="007528AC">
      <w:pPr>
        <w:spacing w:after="480"/>
        <w:jc w:val="center"/>
        <w:rPr>
          <w:b/>
          <w:caps/>
          <w:szCs w:val="24"/>
        </w:rPr>
      </w:pPr>
      <w:r w:rsidRPr="007528AC">
        <w:rPr>
          <w:b/>
          <w:caps/>
          <w:szCs w:val="24"/>
        </w:rPr>
        <w:t>Docket No. 4</w:t>
      </w:r>
      <w:r w:rsidR="00BB042B">
        <w:rPr>
          <w:b/>
          <w:caps/>
          <w:szCs w:val="24"/>
        </w:rPr>
        <w:t>7473</w:t>
      </w:r>
    </w:p>
    <w:tbl>
      <w:tblPr>
        <w:tblW w:w="9351" w:type="dxa"/>
        <w:tblInd w:w="-5" w:type="dxa"/>
        <w:tblLayout w:type="fixed"/>
        <w:tblLook w:val="01E0" w:firstRow="1" w:lastRow="1" w:firstColumn="1" w:lastColumn="1" w:noHBand="0" w:noVBand="0"/>
      </w:tblPr>
      <w:tblGrid>
        <w:gridCol w:w="4505"/>
        <w:gridCol w:w="450"/>
        <w:gridCol w:w="4396"/>
      </w:tblGrid>
      <w:tr w:rsidR="00457FD4" w:rsidRPr="007528AC" w:rsidTr="00457FD4">
        <w:trPr>
          <w:trHeight w:val="1214"/>
        </w:trPr>
        <w:tc>
          <w:tcPr>
            <w:tcW w:w="4505" w:type="dxa"/>
          </w:tcPr>
          <w:p w:rsidR="00457FD4" w:rsidRPr="00457FD4" w:rsidRDefault="00457FD4" w:rsidP="00457FD4">
            <w:pPr>
              <w:jc w:val="left"/>
              <w:rPr>
                <w:rFonts w:ascii="Times New Roman Bold" w:eastAsia="SimSun" w:hAnsi="Times New Roman Bold" w:hint="eastAsia"/>
                <w:b/>
                <w:caps/>
                <w:szCs w:val="24"/>
              </w:rPr>
            </w:pPr>
            <w:r w:rsidRPr="00457FD4">
              <w:rPr>
                <w:rFonts w:ascii="Times New Roman Bold" w:eastAsia="SimSun" w:hAnsi="Times New Roman Bold"/>
                <w:b/>
                <w:caps/>
                <w:szCs w:val="24"/>
              </w:rPr>
              <w:t>APPLICATION OF MANVEL UTILITIES, LP FOR CLASS C WATER UTILITY REQUEST FOR A PRICE RATE ADJUSTMENT</w:t>
            </w:r>
          </w:p>
        </w:tc>
        <w:tc>
          <w:tcPr>
            <w:tcW w:w="450" w:type="dxa"/>
            <w:hideMark/>
          </w:tcPr>
          <w:p w:rsidR="00457FD4" w:rsidRPr="007528AC" w:rsidRDefault="00457FD4" w:rsidP="00457FD4">
            <w:pPr>
              <w:rPr>
                <w:rFonts w:eastAsia="SimSun"/>
                <w:b/>
                <w:bCs/>
                <w:caps/>
                <w:szCs w:val="24"/>
              </w:rPr>
            </w:pPr>
            <w:r w:rsidRPr="007528AC">
              <w:rPr>
                <w:rFonts w:eastAsia="SimSun"/>
                <w:b/>
                <w:bCs/>
                <w:caps/>
                <w:szCs w:val="24"/>
              </w:rPr>
              <w:t>§</w:t>
            </w:r>
          </w:p>
          <w:p w:rsidR="00457FD4" w:rsidRPr="007528AC" w:rsidRDefault="00457FD4" w:rsidP="00457FD4">
            <w:pPr>
              <w:rPr>
                <w:rFonts w:eastAsia="SimSun"/>
                <w:b/>
                <w:bCs/>
                <w:caps/>
                <w:szCs w:val="24"/>
              </w:rPr>
            </w:pPr>
            <w:r w:rsidRPr="007528AC">
              <w:rPr>
                <w:rFonts w:eastAsia="SimSun"/>
                <w:b/>
                <w:bCs/>
                <w:caps/>
                <w:szCs w:val="24"/>
              </w:rPr>
              <w:t>§</w:t>
            </w:r>
          </w:p>
          <w:p w:rsidR="00457FD4" w:rsidRPr="007528AC" w:rsidRDefault="00457FD4" w:rsidP="00457FD4">
            <w:pPr>
              <w:rPr>
                <w:rFonts w:eastAsia="SimSun"/>
                <w:b/>
                <w:bCs/>
                <w:caps/>
                <w:szCs w:val="24"/>
              </w:rPr>
            </w:pPr>
            <w:r w:rsidRPr="007528AC">
              <w:rPr>
                <w:rFonts w:eastAsia="SimSun"/>
                <w:b/>
                <w:bCs/>
                <w:caps/>
                <w:szCs w:val="24"/>
              </w:rPr>
              <w:t>§</w:t>
            </w:r>
          </w:p>
          <w:p w:rsidR="00457FD4" w:rsidRPr="007528AC" w:rsidRDefault="00457FD4" w:rsidP="00457FD4">
            <w:pPr>
              <w:rPr>
                <w:rFonts w:eastAsia="SimSun"/>
                <w:b/>
                <w:bCs/>
                <w:caps/>
                <w:szCs w:val="24"/>
              </w:rPr>
            </w:pPr>
            <w:r w:rsidRPr="007528AC">
              <w:rPr>
                <w:rFonts w:eastAsia="SimSun"/>
                <w:b/>
                <w:bCs/>
                <w:caps/>
                <w:szCs w:val="24"/>
              </w:rPr>
              <w:t>§</w:t>
            </w:r>
          </w:p>
        </w:tc>
        <w:tc>
          <w:tcPr>
            <w:tcW w:w="4396" w:type="dxa"/>
          </w:tcPr>
          <w:p w:rsidR="00457FD4" w:rsidRPr="007528AC" w:rsidRDefault="00457FD4" w:rsidP="00457FD4">
            <w:pPr>
              <w:jc w:val="center"/>
              <w:rPr>
                <w:rFonts w:eastAsia="SimSun"/>
                <w:b/>
                <w:caps/>
                <w:szCs w:val="24"/>
              </w:rPr>
            </w:pPr>
            <w:r w:rsidRPr="007528AC">
              <w:rPr>
                <w:rFonts w:eastAsia="SimSun"/>
                <w:b/>
                <w:caps/>
                <w:szCs w:val="24"/>
              </w:rPr>
              <w:t>Public Utility Commission</w:t>
            </w:r>
          </w:p>
          <w:p w:rsidR="00457FD4" w:rsidRPr="007528AC" w:rsidRDefault="00457FD4" w:rsidP="00457FD4">
            <w:pPr>
              <w:jc w:val="center"/>
              <w:rPr>
                <w:rFonts w:eastAsia="SimSun"/>
                <w:b/>
                <w:caps/>
                <w:szCs w:val="24"/>
              </w:rPr>
            </w:pPr>
          </w:p>
          <w:p w:rsidR="00457FD4" w:rsidRPr="007528AC" w:rsidRDefault="00457FD4" w:rsidP="00457FD4">
            <w:pPr>
              <w:jc w:val="center"/>
              <w:rPr>
                <w:rFonts w:eastAsia="SimSun"/>
                <w:szCs w:val="24"/>
              </w:rPr>
            </w:pPr>
            <w:r w:rsidRPr="007528AC">
              <w:rPr>
                <w:rFonts w:eastAsia="SimSun"/>
                <w:b/>
                <w:caps/>
                <w:szCs w:val="24"/>
              </w:rPr>
              <w:t>of Texas</w:t>
            </w:r>
          </w:p>
        </w:tc>
      </w:tr>
    </w:tbl>
    <w:p w:rsidR="00700077" w:rsidRPr="007528AC" w:rsidRDefault="00DB4FA4" w:rsidP="007528AC">
      <w:pPr>
        <w:widowControl w:val="0"/>
        <w:spacing w:before="480" w:after="360"/>
        <w:jc w:val="center"/>
        <w:rPr>
          <w:b/>
          <w:bCs/>
        </w:rPr>
      </w:pPr>
      <w:r>
        <w:rPr>
          <w:b/>
          <w:bCs/>
          <w:caps/>
          <w:szCs w:val="24"/>
        </w:rPr>
        <w:t>Proposed order</w:t>
      </w:r>
    </w:p>
    <w:p w:rsidR="00457FD4" w:rsidRDefault="001C7B68" w:rsidP="00EF49A5">
      <w:pPr>
        <w:pStyle w:val="orderclosing1"/>
        <w:spacing w:before="120" w:after="0" w:line="360" w:lineRule="auto"/>
        <w:jc w:val="both"/>
        <w:rPr>
          <w:b w:val="0"/>
          <w:sz w:val="24"/>
          <w:szCs w:val="24"/>
        </w:rPr>
      </w:pPr>
      <w:r w:rsidRPr="00457FD4">
        <w:rPr>
          <w:b w:val="0"/>
          <w:sz w:val="24"/>
          <w:szCs w:val="24"/>
        </w:rPr>
        <w:t xml:space="preserve">This Order addresses </w:t>
      </w:r>
      <w:r w:rsidR="00457FD4" w:rsidRPr="00457FD4">
        <w:rPr>
          <w:b w:val="0"/>
          <w:sz w:val="24"/>
          <w:szCs w:val="24"/>
        </w:rPr>
        <w:t>Manvel Utilities, LP</w:t>
      </w:r>
      <w:r w:rsidR="004F7E2D">
        <w:rPr>
          <w:b w:val="0"/>
          <w:sz w:val="24"/>
          <w:szCs w:val="24"/>
        </w:rPr>
        <w:t>’s application</w:t>
      </w:r>
      <w:r w:rsidR="00457FD4" w:rsidRPr="00457FD4">
        <w:rPr>
          <w:b w:val="0"/>
          <w:sz w:val="24"/>
          <w:szCs w:val="24"/>
        </w:rPr>
        <w:t xml:space="preserve"> for </w:t>
      </w:r>
      <w:r w:rsidR="004F7E2D">
        <w:rPr>
          <w:b w:val="0"/>
          <w:sz w:val="24"/>
          <w:szCs w:val="24"/>
        </w:rPr>
        <w:t xml:space="preserve">a </w:t>
      </w:r>
      <w:r w:rsidR="00457FD4" w:rsidRPr="00457FD4">
        <w:rPr>
          <w:b w:val="0"/>
          <w:sz w:val="24"/>
          <w:szCs w:val="24"/>
        </w:rPr>
        <w:t xml:space="preserve">price </w:t>
      </w:r>
      <w:r w:rsidR="009D38F8">
        <w:rPr>
          <w:b w:val="0"/>
          <w:sz w:val="24"/>
          <w:szCs w:val="24"/>
        </w:rPr>
        <w:t xml:space="preserve">index </w:t>
      </w:r>
      <w:r w:rsidR="00457FD4" w:rsidRPr="00457FD4">
        <w:rPr>
          <w:b w:val="0"/>
          <w:sz w:val="24"/>
          <w:szCs w:val="24"/>
        </w:rPr>
        <w:t>rate adjustment</w:t>
      </w:r>
      <w:r w:rsidR="00457FD4">
        <w:rPr>
          <w:b w:val="0"/>
          <w:sz w:val="24"/>
          <w:szCs w:val="24"/>
        </w:rPr>
        <w:t>.</w:t>
      </w:r>
      <w:r w:rsidR="0098752A">
        <w:rPr>
          <w:b w:val="0"/>
          <w:sz w:val="24"/>
          <w:szCs w:val="24"/>
        </w:rPr>
        <w:t xml:space="preserve">  Commission Staff recommended that the application be denied.  The application is denied. </w:t>
      </w:r>
    </w:p>
    <w:p w:rsidR="00BD2254" w:rsidRPr="00BD2254" w:rsidRDefault="00BD2254" w:rsidP="00BD2254">
      <w:pPr>
        <w:spacing w:before="120" w:line="360" w:lineRule="auto"/>
        <w:ind w:firstLine="720"/>
        <w:rPr>
          <w:rFonts w:eastAsiaTheme="minorHAnsi"/>
          <w:szCs w:val="24"/>
          <w:lang w:eastAsia="en-US"/>
        </w:rPr>
      </w:pPr>
      <w:r w:rsidRPr="00BD2254">
        <w:rPr>
          <w:rFonts w:eastAsiaTheme="minorHAnsi"/>
          <w:szCs w:val="24"/>
          <w:lang w:eastAsia="en-US"/>
        </w:rPr>
        <w:t xml:space="preserve">The Commission adopts the following findings of fact and conclusions of law: </w:t>
      </w:r>
    </w:p>
    <w:p w:rsidR="00922EC3" w:rsidRPr="0032099A" w:rsidRDefault="00922EC3" w:rsidP="00EF49A5">
      <w:pPr>
        <w:pStyle w:val="Heading1"/>
        <w:keepNext w:val="0"/>
        <w:keepLines w:val="0"/>
        <w:widowControl w:val="0"/>
        <w:spacing w:before="360" w:after="240"/>
      </w:pPr>
      <w:r w:rsidRPr="0032099A">
        <w:t>Background</w:t>
      </w:r>
    </w:p>
    <w:p w:rsidR="00937F4E" w:rsidRDefault="00977851" w:rsidP="00EF49A5">
      <w:pPr>
        <w:pStyle w:val="FOFNumbered"/>
        <w:numPr>
          <w:ilvl w:val="0"/>
          <w:numId w:val="0"/>
        </w:numPr>
        <w:ind w:firstLine="720"/>
        <w:rPr>
          <w:rFonts w:eastAsiaTheme="minorHAnsi"/>
          <w:szCs w:val="24"/>
        </w:rPr>
      </w:pPr>
      <w:r>
        <w:t xml:space="preserve">Manvel holds water certificate of convenience and necessity (CCN) No. 12924 and sewer CCN No. 20871 and </w:t>
      </w:r>
      <w:r w:rsidR="00922EC3">
        <w:t xml:space="preserve">owns a public water </w:t>
      </w:r>
      <w:r w:rsidR="00EA7952">
        <w:t xml:space="preserve">and sewer </w:t>
      </w:r>
      <w:r w:rsidR="00922EC3">
        <w:t xml:space="preserve">system in </w:t>
      </w:r>
      <w:r w:rsidR="00814148">
        <w:t xml:space="preserve">Brazoria </w:t>
      </w:r>
      <w:r w:rsidR="00922EC3">
        <w:t xml:space="preserve">County.  </w:t>
      </w:r>
      <w:r w:rsidR="00EA7952">
        <w:t>Manvel has 286 current active sewer connections</w:t>
      </w:r>
      <w:r w:rsidR="00814148">
        <w:t xml:space="preserve"> in Oak Crest of Manvel</w:t>
      </w:r>
      <w:r w:rsidR="00EA7952">
        <w:t xml:space="preserve">.  </w:t>
      </w:r>
      <w:r w:rsidR="009D38F8">
        <w:t xml:space="preserve">Under </w:t>
      </w:r>
      <w:r w:rsidR="00937F4E">
        <w:rPr>
          <w:rFonts w:eastAsiaTheme="minorHAnsi"/>
          <w:szCs w:val="24"/>
        </w:rPr>
        <w:t>16 T</w:t>
      </w:r>
      <w:r w:rsidR="00FF7B59">
        <w:rPr>
          <w:rFonts w:eastAsiaTheme="minorHAnsi"/>
          <w:szCs w:val="24"/>
        </w:rPr>
        <w:t>exas Administrative Code (T</w:t>
      </w:r>
      <w:r w:rsidR="00937F4E">
        <w:rPr>
          <w:rFonts w:eastAsiaTheme="minorHAnsi"/>
          <w:szCs w:val="24"/>
        </w:rPr>
        <w:t>AC</w:t>
      </w:r>
      <w:r w:rsidR="00FF7B59">
        <w:rPr>
          <w:rFonts w:eastAsiaTheme="minorHAnsi"/>
          <w:szCs w:val="24"/>
        </w:rPr>
        <w:t>)</w:t>
      </w:r>
      <w:r w:rsidR="00937F4E">
        <w:rPr>
          <w:rFonts w:eastAsiaTheme="minorHAnsi"/>
          <w:szCs w:val="24"/>
        </w:rPr>
        <w:t xml:space="preserve"> § 24.36(f), relating to time between filings, Manvel may apply to adjust its water </w:t>
      </w:r>
      <w:r w:rsidR="0008415C">
        <w:rPr>
          <w:rFonts w:eastAsiaTheme="minorHAnsi"/>
          <w:szCs w:val="24"/>
        </w:rPr>
        <w:t xml:space="preserve">rates </w:t>
      </w:r>
      <w:r w:rsidR="00937F4E">
        <w:rPr>
          <w:rFonts w:eastAsiaTheme="minorHAnsi"/>
          <w:szCs w:val="24"/>
        </w:rPr>
        <w:t xml:space="preserve">in March </w:t>
      </w:r>
      <w:r w:rsidR="009D38F8">
        <w:rPr>
          <w:rFonts w:eastAsiaTheme="minorHAnsi"/>
          <w:szCs w:val="24"/>
        </w:rPr>
        <w:t xml:space="preserve">because its water CCN ends in 24 </w:t>
      </w:r>
      <w:r w:rsidR="00937F4E">
        <w:rPr>
          <w:rFonts w:eastAsiaTheme="minorHAnsi"/>
          <w:szCs w:val="24"/>
        </w:rPr>
        <w:t xml:space="preserve">and sewer </w:t>
      </w:r>
      <w:r w:rsidR="0008415C">
        <w:rPr>
          <w:rFonts w:eastAsiaTheme="minorHAnsi"/>
          <w:szCs w:val="24"/>
        </w:rPr>
        <w:t xml:space="preserve">rates </w:t>
      </w:r>
      <w:r w:rsidR="00937F4E">
        <w:rPr>
          <w:rFonts w:eastAsiaTheme="minorHAnsi"/>
          <w:szCs w:val="24"/>
        </w:rPr>
        <w:t>in August</w:t>
      </w:r>
      <w:r w:rsidR="009D38F8">
        <w:rPr>
          <w:rFonts w:eastAsiaTheme="minorHAnsi"/>
          <w:szCs w:val="24"/>
        </w:rPr>
        <w:t xml:space="preserve"> because its sewer CCN ends in 71</w:t>
      </w:r>
      <w:r w:rsidR="00937F4E">
        <w:rPr>
          <w:rFonts w:eastAsiaTheme="minorHAnsi"/>
          <w:szCs w:val="24"/>
        </w:rPr>
        <w:t xml:space="preserve">.  </w:t>
      </w:r>
    </w:p>
    <w:p w:rsidR="00BA770A" w:rsidRDefault="00937F4E" w:rsidP="00EF49A5">
      <w:pPr>
        <w:pStyle w:val="FOFNumbered"/>
        <w:numPr>
          <w:ilvl w:val="0"/>
          <w:numId w:val="0"/>
        </w:numPr>
        <w:ind w:firstLine="720"/>
      </w:pPr>
      <w:r>
        <w:t xml:space="preserve">In accordance with the schedule in 16 TAC § 24.36(f), </w:t>
      </w:r>
      <w:r w:rsidR="00922EC3">
        <w:t>Manvel f</w:t>
      </w:r>
      <w:r w:rsidR="00922EC3" w:rsidRPr="0032099A">
        <w:t xml:space="preserve">iled an application </w:t>
      </w:r>
      <w:r>
        <w:t>o</w:t>
      </w:r>
      <w:r w:rsidRPr="0032099A">
        <w:t xml:space="preserve">n </w:t>
      </w:r>
      <w:r>
        <w:t xml:space="preserve">August 4, 2017, </w:t>
      </w:r>
      <w:r w:rsidR="00922EC3">
        <w:t xml:space="preserve">to adjust sewer rates under </w:t>
      </w:r>
      <w:r>
        <w:t xml:space="preserve">CCN No. </w:t>
      </w:r>
      <w:r w:rsidR="00922EC3">
        <w:t>20871</w:t>
      </w:r>
      <w:r w:rsidR="0008415C">
        <w:t>.</w:t>
      </w:r>
      <w:r w:rsidR="00922EC3" w:rsidRPr="0032099A">
        <w:t xml:space="preserve">  </w:t>
      </w:r>
      <w:r>
        <w:t>Manvel</w:t>
      </w:r>
      <w:r w:rsidRPr="0032099A">
        <w:t xml:space="preserve"> </w:t>
      </w:r>
      <w:r>
        <w:t xml:space="preserve">stated the rates were </w:t>
      </w:r>
      <w:r>
        <w:rPr>
          <w:rFonts w:eastAsiaTheme="minorHAnsi"/>
          <w:szCs w:val="24"/>
        </w:rPr>
        <w:t xml:space="preserve">last adjusted in June 2009.  </w:t>
      </w:r>
      <w:r w:rsidR="00922EC3" w:rsidRPr="0032099A">
        <w:t xml:space="preserve">On </w:t>
      </w:r>
      <w:r w:rsidR="00922EC3">
        <w:t>September 5</w:t>
      </w:r>
      <w:r w:rsidR="00922EC3" w:rsidRPr="0032099A">
        <w:t xml:space="preserve">, </w:t>
      </w:r>
      <w:r w:rsidR="00922EC3">
        <w:t>2017</w:t>
      </w:r>
      <w:r w:rsidR="00922EC3" w:rsidRPr="0032099A">
        <w:t xml:space="preserve">, Commission Staff </w:t>
      </w:r>
      <w:r w:rsidR="00922EC3">
        <w:t>filed comments stating that because Manvel filed for a water rate adjustment under CCN No. 12924 in March of 2017</w:t>
      </w:r>
      <w:r w:rsidR="00BA770A">
        <w:t xml:space="preserve"> and </w:t>
      </w:r>
      <w:r w:rsidR="004F7E2D">
        <w:t xml:space="preserve">was </w:t>
      </w:r>
      <w:r w:rsidR="00BA770A">
        <w:t>approved in May 2017</w:t>
      </w:r>
      <w:r w:rsidR="00922EC3">
        <w:t>,</w:t>
      </w:r>
      <w:r w:rsidR="00102535">
        <w:rPr>
          <w:rStyle w:val="FootnoteReference"/>
        </w:rPr>
        <w:footnoteReference w:id="1"/>
      </w:r>
      <w:r w:rsidR="00102535">
        <w:t xml:space="preserve"> </w:t>
      </w:r>
      <w:r w:rsidR="009D38F8">
        <w:t>Texas Water Code</w:t>
      </w:r>
      <w:r w:rsidR="009D38F8">
        <w:rPr>
          <w:rStyle w:val="FootnoteReference"/>
        </w:rPr>
        <w:footnoteReference w:id="2"/>
      </w:r>
      <w:r w:rsidR="009D38F8">
        <w:t xml:space="preserve"> § 13.1872(f) and 16 TAC § 24.36(f)(1) render Manvel ineligible for another Class C rate adjustment.</w:t>
      </w:r>
      <w:r w:rsidR="009D38F8">
        <w:rPr>
          <w:rStyle w:val="FootnoteReference"/>
        </w:rPr>
        <w:footnoteReference w:id="3"/>
      </w:r>
      <w:r w:rsidR="009D38F8">
        <w:t xml:space="preserve">  </w:t>
      </w:r>
      <w:r w:rsidR="00BA770A">
        <w:t xml:space="preserve">Commission Staff </w:t>
      </w:r>
      <w:r w:rsidR="00BA770A" w:rsidRPr="0032099A">
        <w:t xml:space="preserve">recommended </w:t>
      </w:r>
      <w:r w:rsidR="00BA770A">
        <w:t>denial of th</w:t>
      </w:r>
      <w:r w:rsidR="00BA770A" w:rsidRPr="0032099A">
        <w:t>e application</w:t>
      </w:r>
      <w:r w:rsidR="00BA770A">
        <w:t xml:space="preserve">.  </w:t>
      </w:r>
    </w:p>
    <w:p w:rsidR="00BA770A" w:rsidRDefault="00922EC3" w:rsidP="00EF49A5">
      <w:pPr>
        <w:pStyle w:val="FOFNumbered"/>
        <w:numPr>
          <w:ilvl w:val="0"/>
          <w:numId w:val="0"/>
        </w:numPr>
        <w:ind w:firstLine="720"/>
      </w:pPr>
      <w:r>
        <w:lastRenderedPageBreak/>
        <w:t xml:space="preserve">Manvel filed a response </w:t>
      </w:r>
      <w:r w:rsidR="00937F4E">
        <w:t xml:space="preserve">to Commission Staff’s comments </w:t>
      </w:r>
      <w:r>
        <w:t xml:space="preserve">stating that it was not clear in the </w:t>
      </w:r>
      <w:r w:rsidR="00937F4E">
        <w:t xml:space="preserve">instructions and </w:t>
      </w:r>
      <w:r w:rsidR="00BA770A">
        <w:t xml:space="preserve">previous </w:t>
      </w:r>
      <w:r w:rsidR="009D38F8">
        <w:t xml:space="preserve">Commission </w:t>
      </w:r>
      <w:r>
        <w:t xml:space="preserve">form that a utility could </w:t>
      </w:r>
      <w:r w:rsidR="00814148">
        <w:t xml:space="preserve">request a price rate adjustment for </w:t>
      </w:r>
      <w:r>
        <w:t xml:space="preserve">both water and sewer rates </w:t>
      </w:r>
      <w:r w:rsidR="00F35D28">
        <w:t xml:space="preserve">on one form </w:t>
      </w:r>
      <w:r w:rsidR="00814148">
        <w:t>if the</w:t>
      </w:r>
      <w:r w:rsidR="00F35D28">
        <w:t xml:space="preserve"> last two digits of the </w:t>
      </w:r>
      <w:r>
        <w:t>CCN numbers</w:t>
      </w:r>
      <w:r w:rsidR="00F35D28">
        <w:t xml:space="preserve"> were different and the chart dictated a different month to file each</w:t>
      </w:r>
      <w:r>
        <w:t xml:space="preserve">.  </w:t>
      </w:r>
      <w:r w:rsidR="009D38F8" w:rsidRPr="002A7AF0">
        <w:rPr>
          <w:rFonts w:eastAsiaTheme="minorHAnsi"/>
          <w:szCs w:val="24"/>
        </w:rPr>
        <w:t>While it was Manvel’s preference to file the application for both water and sewer price rate adjustment, the instructions appeared to be very clear that each CCN number would dictate when the application could be filed.  When the water application was filed, the Commission had not updated the website with the 2017 application or instructions for the 2017 application.  Thus, Manvel filed the water application assigned Docket No. 46965 using the previous online application and instructions.  Manvel asserted that if the instructions had indicated that both utilities could be included on the same application that</w:t>
      </w:r>
      <w:r w:rsidR="009D38F8">
        <w:rPr>
          <w:rFonts w:eastAsiaTheme="minorHAnsi"/>
          <w:szCs w:val="24"/>
        </w:rPr>
        <w:t xml:space="preserve"> i</w:t>
      </w:r>
      <w:r w:rsidR="009D38F8" w:rsidRPr="002A7AF0">
        <w:rPr>
          <w:rFonts w:eastAsiaTheme="minorHAnsi"/>
          <w:szCs w:val="24"/>
        </w:rPr>
        <w:t xml:space="preserve">s what they would have done.  Manvel stated they would have just added two numbers to the original application filed in March 2017.  </w:t>
      </w:r>
      <w:r w:rsidR="00BA770A">
        <w:t xml:space="preserve">Manvel requested that the application for sewer utility rate adjustment be approved </w:t>
      </w:r>
      <w:r w:rsidR="004F7E2D">
        <w:t xml:space="preserve">despite </w:t>
      </w:r>
      <w:r w:rsidR="00BA770A">
        <w:t>Commission Staff</w:t>
      </w:r>
      <w:r w:rsidR="004F7E2D">
        <w:t>’s</w:t>
      </w:r>
      <w:r w:rsidR="00BA770A">
        <w:t xml:space="preserve"> recommend</w:t>
      </w:r>
      <w:r w:rsidR="004F7E2D">
        <w:t xml:space="preserve">ation for </w:t>
      </w:r>
      <w:r w:rsidR="00BA770A">
        <w:t>denial.</w:t>
      </w:r>
      <w:r w:rsidR="009D38F8">
        <w:rPr>
          <w:rStyle w:val="FootnoteReference"/>
        </w:rPr>
        <w:footnoteReference w:id="4"/>
      </w:r>
    </w:p>
    <w:p w:rsidR="00BA770A" w:rsidRDefault="0098752A" w:rsidP="00D213C1">
      <w:pPr>
        <w:pStyle w:val="Heading1"/>
        <w:keepNext w:val="0"/>
        <w:keepLines w:val="0"/>
        <w:widowControl w:val="0"/>
        <w:spacing w:before="360" w:after="240"/>
        <w:rPr>
          <w:szCs w:val="24"/>
        </w:rPr>
      </w:pPr>
      <w:r w:rsidRPr="0098752A">
        <w:rPr>
          <w:szCs w:val="24"/>
        </w:rPr>
        <w:t>Findings of Fact</w:t>
      </w:r>
    </w:p>
    <w:p w:rsidR="00457FD4" w:rsidRPr="00457FD4" w:rsidRDefault="00BD2254" w:rsidP="00457FD4">
      <w:pPr>
        <w:pStyle w:val="orderclosing1"/>
        <w:spacing w:before="120" w:after="0" w:line="360" w:lineRule="auto"/>
        <w:ind w:firstLine="0"/>
        <w:jc w:val="both"/>
        <w:rPr>
          <w:i/>
          <w:sz w:val="24"/>
          <w:szCs w:val="24"/>
          <w:u w:val="single"/>
        </w:rPr>
      </w:pPr>
      <w:r>
        <w:rPr>
          <w:i/>
          <w:sz w:val="24"/>
          <w:szCs w:val="24"/>
          <w:u w:val="single"/>
        </w:rPr>
        <w:t>Pro</w:t>
      </w:r>
      <w:r w:rsidR="007B3B13">
        <w:rPr>
          <w:i/>
          <w:sz w:val="24"/>
          <w:szCs w:val="24"/>
          <w:u w:val="single"/>
        </w:rPr>
        <w:t xml:space="preserve">cedural </w:t>
      </w:r>
      <w:r w:rsidR="004F7E2D">
        <w:rPr>
          <w:i/>
          <w:sz w:val="24"/>
          <w:szCs w:val="24"/>
          <w:u w:val="single"/>
        </w:rPr>
        <w:t>H</w:t>
      </w:r>
      <w:r w:rsidR="00457FD4">
        <w:rPr>
          <w:i/>
          <w:sz w:val="24"/>
          <w:szCs w:val="24"/>
          <w:u w:val="single"/>
        </w:rPr>
        <w:t>istory</w:t>
      </w:r>
    </w:p>
    <w:p w:rsidR="00457FD4" w:rsidRPr="00457FD4" w:rsidRDefault="00457FD4" w:rsidP="00457FD4">
      <w:pPr>
        <w:pStyle w:val="ListParagraph"/>
        <w:numPr>
          <w:ilvl w:val="0"/>
          <w:numId w:val="1"/>
        </w:numPr>
        <w:spacing w:before="120" w:line="360" w:lineRule="auto"/>
        <w:ind w:hanging="720"/>
        <w:contextualSpacing w:val="0"/>
        <w:rPr>
          <w:szCs w:val="24"/>
          <w:lang w:eastAsia="en-US"/>
        </w:rPr>
      </w:pPr>
      <w:r w:rsidRPr="00457FD4">
        <w:rPr>
          <w:szCs w:val="24"/>
          <w:lang w:eastAsia="en-US"/>
        </w:rPr>
        <w:t xml:space="preserve">On </w:t>
      </w:r>
      <w:r w:rsidR="007B3B13">
        <w:rPr>
          <w:szCs w:val="24"/>
          <w:lang w:eastAsia="en-US"/>
        </w:rPr>
        <w:t>August 4</w:t>
      </w:r>
      <w:r w:rsidRPr="00457FD4">
        <w:rPr>
          <w:szCs w:val="24"/>
          <w:lang w:eastAsia="en-US"/>
        </w:rPr>
        <w:t xml:space="preserve">, 2017, Manvel filed an application for a price rate </w:t>
      </w:r>
      <w:r w:rsidR="009D38F8">
        <w:rPr>
          <w:szCs w:val="24"/>
          <w:lang w:eastAsia="en-US"/>
        </w:rPr>
        <w:t xml:space="preserve">index </w:t>
      </w:r>
      <w:r w:rsidRPr="00457FD4">
        <w:rPr>
          <w:szCs w:val="24"/>
          <w:lang w:eastAsia="en-US"/>
        </w:rPr>
        <w:t xml:space="preserve">adjustment.  </w:t>
      </w:r>
      <w:r w:rsidR="0098752A">
        <w:rPr>
          <w:szCs w:val="24"/>
          <w:lang w:eastAsia="en-US"/>
        </w:rPr>
        <w:t xml:space="preserve">Manvel </w:t>
      </w:r>
      <w:r w:rsidRPr="00457FD4">
        <w:rPr>
          <w:szCs w:val="24"/>
          <w:lang w:eastAsia="en-US"/>
        </w:rPr>
        <w:t xml:space="preserve">proposed </w:t>
      </w:r>
      <w:r w:rsidR="004F7E2D" w:rsidRPr="00457FD4">
        <w:rPr>
          <w:szCs w:val="24"/>
          <w:lang w:eastAsia="en-US"/>
        </w:rPr>
        <w:t>November 12, 2017</w:t>
      </w:r>
      <w:r w:rsidR="004F7E2D">
        <w:rPr>
          <w:szCs w:val="24"/>
          <w:lang w:eastAsia="en-US"/>
        </w:rPr>
        <w:t xml:space="preserve"> as the </w:t>
      </w:r>
      <w:r w:rsidRPr="00457FD4">
        <w:rPr>
          <w:szCs w:val="24"/>
          <w:lang w:eastAsia="en-US"/>
        </w:rPr>
        <w:t>effective date for the rate increase</w:t>
      </w:r>
      <w:r w:rsidR="00110213">
        <w:rPr>
          <w:szCs w:val="24"/>
          <w:lang w:eastAsia="en-US"/>
        </w:rPr>
        <w:t xml:space="preserve">, which </w:t>
      </w:r>
      <w:r w:rsidR="00110213" w:rsidRPr="00457FD4">
        <w:rPr>
          <w:szCs w:val="24"/>
          <w:lang w:eastAsia="en-US"/>
        </w:rPr>
        <w:t>affect</w:t>
      </w:r>
      <w:r w:rsidR="00977851">
        <w:rPr>
          <w:szCs w:val="24"/>
          <w:lang w:eastAsia="en-US"/>
        </w:rPr>
        <w:t>s</w:t>
      </w:r>
      <w:r w:rsidR="00110213" w:rsidRPr="00457FD4">
        <w:rPr>
          <w:szCs w:val="24"/>
          <w:lang w:eastAsia="en-US"/>
        </w:rPr>
        <w:t xml:space="preserve"> </w:t>
      </w:r>
      <w:r w:rsidR="00110213">
        <w:rPr>
          <w:szCs w:val="24"/>
          <w:lang w:eastAsia="en-US"/>
        </w:rPr>
        <w:t>se</w:t>
      </w:r>
      <w:r w:rsidR="00110213" w:rsidRPr="00457FD4">
        <w:rPr>
          <w:szCs w:val="24"/>
          <w:lang w:eastAsia="en-US"/>
        </w:rPr>
        <w:t xml:space="preserve">wer rates for </w:t>
      </w:r>
      <w:r w:rsidR="009D38F8">
        <w:rPr>
          <w:szCs w:val="24"/>
          <w:lang w:eastAsia="en-US"/>
        </w:rPr>
        <w:t xml:space="preserve">the </w:t>
      </w:r>
      <w:r w:rsidR="00110213" w:rsidRPr="00457FD4">
        <w:rPr>
          <w:szCs w:val="24"/>
          <w:lang w:eastAsia="en-US"/>
        </w:rPr>
        <w:t>Oak Crest of Manvel</w:t>
      </w:r>
      <w:r w:rsidR="009D38F8">
        <w:rPr>
          <w:szCs w:val="24"/>
          <w:lang w:eastAsia="en-US"/>
        </w:rPr>
        <w:t xml:space="preserve"> subdivision</w:t>
      </w:r>
      <w:r w:rsidR="00DF3910">
        <w:rPr>
          <w:szCs w:val="24"/>
          <w:lang w:eastAsia="en-US"/>
        </w:rPr>
        <w:t>.</w:t>
      </w:r>
    </w:p>
    <w:p w:rsidR="00457FD4" w:rsidRPr="00457FD4" w:rsidRDefault="0098752A" w:rsidP="00457FD4">
      <w:pPr>
        <w:pStyle w:val="ListParagraph"/>
        <w:numPr>
          <w:ilvl w:val="0"/>
          <w:numId w:val="1"/>
        </w:numPr>
        <w:spacing w:before="120" w:line="360" w:lineRule="auto"/>
        <w:ind w:hanging="720"/>
        <w:contextualSpacing w:val="0"/>
        <w:rPr>
          <w:rFonts w:eastAsiaTheme="minorHAnsi"/>
          <w:szCs w:val="24"/>
          <w:lang w:eastAsia="en-US"/>
        </w:rPr>
      </w:pPr>
      <w:r>
        <w:rPr>
          <w:szCs w:val="24"/>
          <w:lang w:eastAsia="en-US"/>
        </w:rPr>
        <w:t xml:space="preserve">On </w:t>
      </w:r>
      <w:r w:rsidR="007B3B13">
        <w:rPr>
          <w:szCs w:val="24"/>
          <w:lang w:eastAsia="en-US"/>
        </w:rPr>
        <w:t>September 5</w:t>
      </w:r>
      <w:r>
        <w:rPr>
          <w:szCs w:val="24"/>
          <w:lang w:eastAsia="en-US"/>
        </w:rPr>
        <w:t xml:space="preserve">, 2017, </w:t>
      </w:r>
      <w:r w:rsidR="00457FD4" w:rsidRPr="00457FD4">
        <w:rPr>
          <w:szCs w:val="24"/>
          <w:lang w:eastAsia="en-US"/>
        </w:rPr>
        <w:t>Commission Staff recommended that</w:t>
      </w:r>
      <w:r w:rsidR="00457FD4" w:rsidRPr="00457FD4">
        <w:rPr>
          <w:rFonts w:eastAsia="SimSun"/>
          <w:szCs w:val="24"/>
          <w:lang w:eastAsia="zh-CN"/>
        </w:rPr>
        <w:t xml:space="preserve"> the application be found administratively complete</w:t>
      </w:r>
      <w:r w:rsidR="00110213">
        <w:rPr>
          <w:rFonts w:eastAsia="SimSun"/>
          <w:szCs w:val="24"/>
          <w:lang w:eastAsia="zh-CN"/>
        </w:rPr>
        <w:t xml:space="preserve">, however, </w:t>
      </w:r>
      <w:r w:rsidR="00457FD4" w:rsidRPr="00457FD4">
        <w:rPr>
          <w:rFonts w:eastAsia="SimSun"/>
          <w:szCs w:val="24"/>
          <w:lang w:eastAsia="zh-CN"/>
        </w:rPr>
        <w:t xml:space="preserve">Staff recommended the application be </w:t>
      </w:r>
      <w:r w:rsidR="00457FD4" w:rsidRPr="00457FD4">
        <w:rPr>
          <w:rFonts w:eastAsiaTheme="minorHAnsi"/>
          <w:szCs w:val="24"/>
          <w:lang w:eastAsia="en-US"/>
        </w:rPr>
        <w:t xml:space="preserve">denied under Texas Water Code </w:t>
      </w:r>
      <w:r w:rsidR="00FF7B59">
        <w:rPr>
          <w:rFonts w:eastAsiaTheme="minorHAnsi"/>
          <w:szCs w:val="24"/>
          <w:lang w:eastAsia="en-US"/>
        </w:rPr>
        <w:t xml:space="preserve">(TWC) </w:t>
      </w:r>
      <w:r w:rsidR="00457FD4" w:rsidRPr="00457FD4">
        <w:rPr>
          <w:rFonts w:eastAsiaTheme="minorHAnsi"/>
          <w:szCs w:val="24"/>
          <w:lang w:eastAsia="en-US"/>
        </w:rPr>
        <w:t>§ 13.1872(f).</w:t>
      </w:r>
      <w:r w:rsidR="009D38F8">
        <w:rPr>
          <w:rStyle w:val="FootnoteReference"/>
          <w:rFonts w:eastAsiaTheme="minorHAnsi"/>
          <w:szCs w:val="24"/>
          <w:lang w:eastAsia="en-US"/>
        </w:rPr>
        <w:footnoteReference w:id="5"/>
      </w:r>
      <w:r w:rsidR="00457FD4" w:rsidRPr="00457FD4">
        <w:rPr>
          <w:rFonts w:eastAsiaTheme="minorHAnsi"/>
          <w:szCs w:val="24"/>
          <w:lang w:eastAsia="en-US"/>
        </w:rPr>
        <w:t xml:space="preserve">  Staff stated that </w:t>
      </w:r>
      <w:r w:rsidR="00FF7B59">
        <w:rPr>
          <w:rFonts w:eastAsiaTheme="minorHAnsi"/>
          <w:szCs w:val="24"/>
          <w:lang w:eastAsia="en-US"/>
        </w:rPr>
        <w:t>T</w:t>
      </w:r>
      <w:r w:rsidR="00457FD4" w:rsidRPr="00457FD4">
        <w:rPr>
          <w:rFonts w:eastAsiaTheme="minorHAnsi"/>
          <w:szCs w:val="24"/>
          <w:lang w:eastAsia="en-US"/>
        </w:rPr>
        <w:t xml:space="preserve">WC § 13.1872(f) allows </w:t>
      </w:r>
      <w:r w:rsidR="00922EC3">
        <w:rPr>
          <w:rFonts w:eastAsiaTheme="minorHAnsi"/>
          <w:szCs w:val="24"/>
          <w:lang w:eastAsia="en-US"/>
        </w:rPr>
        <w:t xml:space="preserve">a utility </w:t>
      </w:r>
      <w:r w:rsidR="00110213">
        <w:rPr>
          <w:rFonts w:eastAsiaTheme="minorHAnsi"/>
          <w:szCs w:val="24"/>
          <w:lang w:eastAsia="en-US"/>
        </w:rPr>
        <w:t xml:space="preserve">only </w:t>
      </w:r>
      <w:r w:rsidR="00457FD4" w:rsidRPr="00457FD4">
        <w:rPr>
          <w:rFonts w:eastAsiaTheme="minorHAnsi"/>
          <w:szCs w:val="24"/>
          <w:lang w:eastAsia="en-US"/>
        </w:rPr>
        <w:t xml:space="preserve">one rate </w:t>
      </w:r>
      <w:r w:rsidR="00110213">
        <w:rPr>
          <w:rFonts w:eastAsiaTheme="minorHAnsi"/>
          <w:szCs w:val="24"/>
          <w:lang w:eastAsia="en-US"/>
        </w:rPr>
        <w:t>adjustment</w:t>
      </w:r>
      <w:r w:rsidR="00457FD4" w:rsidRPr="00457FD4">
        <w:rPr>
          <w:rFonts w:eastAsiaTheme="minorHAnsi"/>
          <w:szCs w:val="24"/>
          <w:lang w:eastAsia="en-US"/>
        </w:rPr>
        <w:t xml:space="preserve"> per year.  Staff noted that Manvel applied for a water rate increase on March 20, 2017, which was approved on May 5, 2017 in Docket No. 46965.</w:t>
      </w:r>
      <w:r w:rsidR="00457FD4" w:rsidRPr="00457FD4">
        <w:rPr>
          <w:rFonts w:eastAsiaTheme="minorHAnsi"/>
          <w:vertAlign w:val="superscript"/>
          <w:lang w:eastAsia="en-US"/>
        </w:rPr>
        <w:footnoteReference w:id="6"/>
      </w:r>
      <w:r w:rsidR="00457FD4" w:rsidRPr="00457FD4">
        <w:rPr>
          <w:rFonts w:eastAsiaTheme="minorHAnsi"/>
          <w:szCs w:val="24"/>
          <w:lang w:eastAsia="en-US"/>
        </w:rPr>
        <w:t xml:space="preserve"> </w:t>
      </w:r>
    </w:p>
    <w:p w:rsidR="00457FD4" w:rsidRPr="00457FD4" w:rsidRDefault="00457FD4" w:rsidP="00457FD4">
      <w:pPr>
        <w:pStyle w:val="ListParagraph"/>
        <w:numPr>
          <w:ilvl w:val="0"/>
          <w:numId w:val="1"/>
        </w:numPr>
        <w:spacing w:before="120" w:line="360" w:lineRule="auto"/>
        <w:ind w:hanging="720"/>
        <w:contextualSpacing w:val="0"/>
        <w:rPr>
          <w:rFonts w:eastAsiaTheme="minorHAnsi"/>
          <w:szCs w:val="24"/>
          <w:lang w:eastAsia="en-US"/>
        </w:rPr>
      </w:pPr>
      <w:r w:rsidRPr="00457FD4">
        <w:rPr>
          <w:rFonts w:eastAsiaTheme="minorHAnsi"/>
          <w:szCs w:val="24"/>
          <w:lang w:eastAsia="en-US"/>
        </w:rPr>
        <w:t xml:space="preserve">On </w:t>
      </w:r>
      <w:r w:rsidR="00110213">
        <w:rPr>
          <w:rFonts w:eastAsiaTheme="minorHAnsi"/>
          <w:szCs w:val="24"/>
          <w:lang w:eastAsia="en-US"/>
        </w:rPr>
        <w:t>September 14</w:t>
      </w:r>
      <w:r w:rsidRPr="00457FD4">
        <w:rPr>
          <w:rFonts w:eastAsiaTheme="minorHAnsi"/>
          <w:szCs w:val="24"/>
          <w:lang w:eastAsia="en-US"/>
        </w:rPr>
        <w:t xml:space="preserve">, 2017, </w:t>
      </w:r>
      <w:r w:rsidR="00110213">
        <w:rPr>
          <w:rFonts w:eastAsiaTheme="minorHAnsi"/>
          <w:szCs w:val="24"/>
          <w:lang w:eastAsia="en-US"/>
        </w:rPr>
        <w:t xml:space="preserve">Order No. 2 was issued </w:t>
      </w:r>
      <w:r w:rsidRPr="00457FD4">
        <w:rPr>
          <w:rFonts w:eastAsiaTheme="minorHAnsi"/>
          <w:szCs w:val="24"/>
          <w:lang w:eastAsia="en-US"/>
        </w:rPr>
        <w:t>deem</w:t>
      </w:r>
      <w:r w:rsidR="00110213">
        <w:rPr>
          <w:rFonts w:eastAsiaTheme="minorHAnsi"/>
          <w:szCs w:val="24"/>
          <w:lang w:eastAsia="en-US"/>
        </w:rPr>
        <w:t xml:space="preserve">ing the application </w:t>
      </w:r>
      <w:r w:rsidRPr="00457FD4">
        <w:rPr>
          <w:rFonts w:eastAsiaTheme="minorHAnsi"/>
          <w:szCs w:val="24"/>
          <w:lang w:eastAsia="en-US"/>
        </w:rPr>
        <w:t xml:space="preserve">administratively complete and accepted for filing. </w:t>
      </w:r>
    </w:p>
    <w:p w:rsidR="0098752A" w:rsidRPr="002A7AF0" w:rsidRDefault="00457FD4" w:rsidP="00834600">
      <w:pPr>
        <w:pStyle w:val="ListParagraph"/>
        <w:numPr>
          <w:ilvl w:val="0"/>
          <w:numId w:val="1"/>
        </w:numPr>
        <w:spacing w:before="120" w:line="360" w:lineRule="auto"/>
        <w:ind w:hanging="720"/>
        <w:contextualSpacing w:val="0"/>
        <w:rPr>
          <w:rFonts w:eastAsiaTheme="minorHAnsi"/>
          <w:szCs w:val="24"/>
          <w:lang w:eastAsia="en-US"/>
        </w:rPr>
      </w:pPr>
      <w:r w:rsidRPr="002A7AF0">
        <w:rPr>
          <w:rFonts w:eastAsiaTheme="minorHAnsi"/>
          <w:szCs w:val="24"/>
          <w:lang w:eastAsia="en-US"/>
        </w:rPr>
        <w:lastRenderedPageBreak/>
        <w:t>On September 2</w:t>
      </w:r>
      <w:r w:rsidR="0098752A" w:rsidRPr="002A7AF0">
        <w:rPr>
          <w:rFonts w:eastAsiaTheme="minorHAnsi"/>
          <w:szCs w:val="24"/>
          <w:lang w:eastAsia="en-US"/>
        </w:rPr>
        <w:t>7</w:t>
      </w:r>
      <w:r w:rsidRPr="002A7AF0">
        <w:rPr>
          <w:rFonts w:eastAsiaTheme="minorHAnsi"/>
          <w:szCs w:val="24"/>
          <w:lang w:eastAsia="en-US"/>
        </w:rPr>
        <w:t xml:space="preserve">, 2017, </w:t>
      </w:r>
      <w:r w:rsidR="00110213" w:rsidRPr="002A7AF0">
        <w:rPr>
          <w:rFonts w:eastAsiaTheme="minorHAnsi"/>
          <w:szCs w:val="24"/>
          <w:lang w:eastAsia="en-US"/>
        </w:rPr>
        <w:t xml:space="preserve">the </w:t>
      </w:r>
      <w:r w:rsidR="0098752A" w:rsidRPr="002A7AF0">
        <w:rPr>
          <w:rFonts w:eastAsiaTheme="minorHAnsi"/>
          <w:szCs w:val="24"/>
          <w:lang w:eastAsia="en-US"/>
        </w:rPr>
        <w:t xml:space="preserve">CPA </w:t>
      </w:r>
      <w:r w:rsidR="004F7E2D">
        <w:rPr>
          <w:rFonts w:eastAsiaTheme="minorHAnsi"/>
          <w:szCs w:val="24"/>
          <w:lang w:eastAsia="en-US"/>
        </w:rPr>
        <w:t>for</w:t>
      </w:r>
      <w:r w:rsidR="00110213" w:rsidRPr="002A7AF0">
        <w:rPr>
          <w:rFonts w:eastAsiaTheme="minorHAnsi"/>
          <w:szCs w:val="24"/>
          <w:lang w:eastAsia="en-US"/>
        </w:rPr>
        <w:t xml:space="preserve"> </w:t>
      </w:r>
      <w:r w:rsidRPr="002A7AF0">
        <w:rPr>
          <w:rFonts w:eastAsiaTheme="minorHAnsi"/>
          <w:szCs w:val="24"/>
          <w:lang w:eastAsia="en-US"/>
        </w:rPr>
        <w:t>Manvel</w:t>
      </w:r>
      <w:r w:rsidR="00110213" w:rsidRPr="002A7AF0">
        <w:rPr>
          <w:rFonts w:eastAsiaTheme="minorHAnsi"/>
          <w:szCs w:val="24"/>
          <w:lang w:eastAsia="en-US"/>
        </w:rPr>
        <w:t>,</w:t>
      </w:r>
      <w:r w:rsidRPr="002A7AF0">
        <w:rPr>
          <w:rFonts w:eastAsiaTheme="minorHAnsi"/>
          <w:szCs w:val="24"/>
          <w:lang w:eastAsia="en-US"/>
        </w:rPr>
        <w:t xml:space="preserve"> </w:t>
      </w:r>
      <w:r w:rsidR="004F7E2D">
        <w:rPr>
          <w:rFonts w:eastAsiaTheme="minorHAnsi"/>
          <w:szCs w:val="24"/>
          <w:lang w:eastAsia="en-US"/>
        </w:rPr>
        <w:t xml:space="preserve">filed </w:t>
      </w:r>
      <w:r w:rsidRPr="002A7AF0">
        <w:rPr>
          <w:rFonts w:eastAsiaTheme="minorHAnsi"/>
          <w:szCs w:val="24"/>
          <w:lang w:eastAsia="en-US"/>
        </w:rPr>
        <w:t xml:space="preserve">a response to Commission Staff’s recommendation.  Manvel stated that the form on the website was not clear that the request for price rate adjustment could be </w:t>
      </w:r>
      <w:r w:rsidR="00FF7B59">
        <w:rPr>
          <w:rFonts w:eastAsiaTheme="minorHAnsi"/>
          <w:szCs w:val="24"/>
          <w:lang w:eastAsia="en-US"/>
        </w:rPr>
        <w:t>applied</w:t>
      </w:r>
      <w:r w:rsidRPr="002A7AF0">
        <w:rPr>
          <w:rFonts w:eastAsiaTheme="minorHAnsi"/>
          <w:szCs w:val="24"/>
          <w:lang w:eastAsia="en-US"/>
        </w:rPr>
        <w:t xml:space="preserve"> for both water and sewer rates in one form.  </w:t>
      </w:r>
      <w:r w:rsidR="0098752A" w:rsidRPr="002A7AF0">
        <w:rPr>
          <w:rFonts w:eastAsiaTheme="minorHAnsi"/>
          <w:szCs w:val="24"/>
          <w:lang w:eastAsia="en-US"/>
        </w:rPr>
        <w:t xml:space="preserve">Manvel is requesting that the </w:t>
      </w:r>
      <w:r w:rsidR="002A7AF0">
        <w:rPr>
          <w:rFonts w:eastAsiaTheme="minorHAnsi"/>
          <w:szCs w:val="24"/>
          <w:lang w:eastAsia="en-US"/>
        </w:rPr>
        <w:t xml:space="preserve">Commission approve the </w:t>
      </w:r>
      <w:r w:rsidR="0098752A" w:rsidRPr="002A7AF0">
        <w:rPr>
          <w:rFonts w:eastAsiaTheme="minorHAnsi"/>
          <w:szCs w:val="24"/>
          <w:lang w:eastAsia="en-US"/>
        </w:rPr>
        <w:t xml:space="preserve">application for the sewer utility price rate adjustment, </w:t>
      </w:r>
      <w:r w:rsidR="004F7E2D">
        <w:rPr>
          <w:rFonts w:eastAsiaTheme="minorHAnsi"/>
          <w:szCs w:val="24"/>
          <w:lang w:eastAsia="en-US"/>
        </w:rPr>
        <w:t>despite</w:t>
      </w:r>
      <w:r w:rsidR="0098752A" w:rsidRPr="002A7AF0">
        <w:rPr>
          <w:rFonts w:eastAsiaTheme="minorHAnsi"/>
          <w:szCs w:val="24"/>
          <w:lang w:eastAsia="en-US"/>
        </w:rPr>
        <w:t xml:space="preserve"> Commission Staff</w:t>
      </w:r>
      <w:r w:rsidR="004F7E2D">
        <w:rPr>
          <w:rFonts w:eastAsiaTheme="minorHAnsi"/>
          <w:szCs w:val="24"/>
          <w:lang w:eastAsia="en-US"/>
        </w:rPr>
        <w:t xml:space="preserve">’s </w:t>
      </w:r>
      <w:r w:rsidR="0098752A" w:rsidRPr="002A7AF0">
        <w:rPr>
          <w:rFonts w:eastAsiaTheme="minorHAnsi"/>
          <w:szCs w:val="24"/>
          <w:lang w:eastAsia="en-US"/>
        </w:rPr>
        <w:t>recommend</w:t>
      </w:r>
      <w:r w:rsidR="004F7E2D">
        <w:rPr>
          <w:rFonts w:eastAsiaTheme="minorHAnsi"/>
          <w:szCs w:val="24"/>
          <w:lang w:eastAsia="en-US"/>
        </w:rPr>
        <w:t xml:space="preserve">ation for </w:t>
      </w:r>
      <w:r w:rsidR="0098752A" w:rsidRPr="002A7AF0">
        <w:rPr>
          <w:rFonts w:eastAsiaTheme="minorHAnsi"/>
          <w:szCs w:val="24"/>
          <w:lang w:eastAsia="en-US"/>
        </w:rPr>
        <w:t xml:space="preserve">denial.  </w:t>
      </w:r>
    </w:p>
    <w:p w:rsidR="0098752A" w:rsidRDefault="0098752A" w:rsidP="0098752A">
      <w:pPr>
        <w:pStyle w:val="ListParagraph"/>
        <w:numPr>
          <w:ilvl w:val="0"/>
          <w:numId w:val="1"/>
        </w:numPr>
        <w:spacing w:before="120" w:line="360" w:lineRule="auto"/>
        <w:ind w:hanging="720"/>
        <w:contextualSpacing w:val="0"/>
        <w:rPr>
          <w:rFonts w:eastAsiaTheme="minorHAnsi"/>
          <w:szCs w:val="24"/>
          <w:lang w:eastAsia="en-US"/>
        </w:rPr>
      </w:pPr>
      <w:r>
        <w:rPr>
          <w:rFonts w:eastAsiaTheme="minorHAnsi"/>
          <w:szCs w:val="24"/>
          <w:lang w:eastAsia="en-US"/>
        </w:rPr>
        <w:t>Manvel</w:t>
      </w:r>
      <w:r w:rsidR="002A7AF0">
        <w:rPr>
          <w:rFonts w:eastAsiaTheme="minorHAnsi"/>
          <w:szCs w:val="24"/>
          <w:lang w:eastAsia="en-US"/>
        </w:rPr>
        <w:t>’s</w:t>
      </w:r>
      <w:r>
        <w:rPr>
          <w:rFonts w:eastAsiaTheme="minorHAnsi"/>
          <w:szCs w:val="24"/>
          <w:lang w:eastAsia="en-US"/>
        </w:rPr>
        <w:t xml:space="preserve"> sewer rates were last adjusted in June 2009.</w:t>
      </w:r>
    </w:p>
    <w:p w:rsidR="005C7B4E" w:rsidRPr="0032099A" w:rsidRDefault="005C7B4E" w:rsidP="005C7B4E">
      <w:pPr>
        <w:pStyle w:val="Heading7"/>
        <w:numPr>
          <w:ilvl w:val="0"/>
          <w:numId w:val="0"/>
        </w:numPr>
      </w:pPr>
      <w:r w:rsidRPr="0032099A">
        <w:t xml:space="preserve">Informal Disposition </w:t>
      </w:r>
    </w:p>
    <w:p w:rsidR="005C7B4E" w:rsidRPr="0032099A" w:rsidRDefault="005C7B4E" w:rsidP="002E4D09">
      <w:pPr>
        <w:pStyle w:val="ListParagraph"/>
        <w:numPr>
          <w:ilvl w:val="0"/>
          <w:numId w:val="1"/>
        </w:numPr>
        <w:spacing w:before="120" w:line="360" w:lineRule="auto"/>
        <w:ind w:hanging="720"/>
        <w:contextualSpacing w:val="0"/>
      </w:pPr>
      <w:r w:rsidRPr="0032099A">
        <w:t>More than 15 days have passed since completion of the notice of this docket.</w:t>
      </w:r>
    </w:p>
    <w:p w:rsidR="005C7B4E" w:rsidRPr="0032099A" w:rsidRDefault="00977851" w:rsidP="002E4D09">
      <w:pPr>
        <w:pStyle w:val="ListParagraph"/>
        <w:numPr>
          <w:ilvl w:val="0"/>
          <w:numId w:val="1"/>
        </w:numPr>
        <w:spacing w:before="120" w:line="360" w:lineRule="auto"/>
        <w:ind w:hanging="720"/>
        <w:contextualSpacing w:val="0"/>
      </w:pPr>
      <w:r>
        <w:t>N</w:t>
      </w:r>
      <w:r w:rsidR="005C7B4E" w:rsidRPr="0032099A">
        <w:t>o protests, motions to intervene, or requests for hearing</w:t>
      </w:r>
      <w:r>
        <w:t xml:space="preserve"> were filed</w:t>
      </w:r>
      <w:r w:rsidR="005C7B4E" w:rsidRPr="0032099A">
        <w:t>.</w:t>
      </w:r>
    </w:p>
    <w:p w:rsidR="005C7B4E" w:rsidRPr="0032099A" w:rsidRDefault="005C7B4E" w:rsidP="00D213C1">
      <w:pPr>
        <w:pStyle w:val="Heading1"/>
        <w:keepNext w:val="0"/>
        <w:keepLines w:val="0"/>
        <w:widowControl w:val="0"/>
        <w:spacing w:before="360" w:after="240"/>
      </w:pPr>
      <w:r w:rsidRPr="0032099A">
        <w:t>Conclusions of Law</w:t>
      </w:r>
    </w:p>
    <w:p w:rsidR="00FF7B59" w:rsidRPr="00FF7B59" w:rsidRDefault="00FF7B59" w:rsidP="00FF7B59">
      <w:pPr>
        <w:pStyle w:val="COLNumbered"/>
        <w:ind w:hanging="720"/>
        <w:rPr>
          <w:color w:val="000000"/>
        </w:rPr>
      </w:pPr>
      <w:r w:rsidRPr="00FF7B59">
        <w:rPr>
          <w:color w:val="000000"/>
        </w:rPr>
        <w:t xml:space="preserve">Manvel is a public utility that provides retail water </w:t>
      </w:r>
      <w:r w:rsidR="009D38F8">
        <w:rPr>
          <w:color w:val="000000"/>
        </w:rPr>
        <w:t>and</w:t>
      </w:r>
      <w:r w:rsidRPr="00FF7B59">
        <w:rPr>
          <w:color w:val="000000"/>
        </w:rPr>
        <w:t xml:space="preserve"> sewer utility service to fewer than 500 taps or active connections.  </w:t>
      </w:r>
    </w:p>
    <w:p w:rsidR="005C7B4E" w:rsidRDefault="005C7B4E" w:rsidP="005C7B4E">
      <w:pPr>
        <w:pStyle w:val="COLNumbered"/>
        <w:ind w:hanging="720"/>
      </w:pPr>
      <w:r>
        <w:t>The Commission has jurisdiction over th</w:t>
      </w:r>
      <w:r w:rsidR="009D38F8">
        <w:t>e</w:t>
      </w:r>
      <w:r>
        <w:t xml:space="preserve"> </w:t>
      </w:r>
      <w:r w:rsidR="009D38F8">
        <w:t>ap</w:t>
      </w:r>
      <w:r>
        <w:t>p</w:t>
      </w:r>
      <w:r w:rsidR="009D38F8">
        <w:t>lication</w:t>
      </w:r>
      <w:r>
        <w:t xml:space="preserve"> under </w:t>
      </w:r>
      <w:r w:rsidRPr="0032099A">
        <w:t>TWC §§ 13.041</w:t>
      </w:r>
      <w:r>
        <w:t xml:space="preserve"> and 13.1872.</w:t>
      </w:r>
    </w:p>
    <w:p w:rsidR="005C7B4E" w:rsidRDefault="005C7B4E" w:rsidP="005C7B4E">
      <w:pPr>
        <w:pStyle w:val="COLNumbered"/>
        <w:ind w:hanging="720"/>
        <w:rPr>
          <w:color w:val="000000"/>
          <w:szCs w:val="24"/>
        </w:rPr>
      </w:pPr>
      <w:r>
        <w:rPr>
          <w:color w:val="000000"/>
        </w:rPr>
        <w:t xml:space="preserve">In accordance with TWC § </w:t>
      </w:r>
      <w:r w:rsidRPr="00110213">
        <w:rPr>
          <w:color w:val="000000"/>
          <w:szCs w:val="24"/>
        </w:rPr>
        <w:t>13.1872(f)</w:t>
      </w:r>
      <w:r>
        <w:rPr>
          <w:color w:val="000000"/>
        </w:rPr>
        <w:t>, a</w:t>
      </w:r>
      <w:r w:rsidRPr="00110213">
        <w:rPr>
          <w:color w:val="000000"/>
          <w:szCs w:val="24"/>
        </w:rPr>
        <w:t xml:space="preserve"> utility may adjust the utility</w:t>
      </w:r>
      <w:r>
        <w:rPr>
          <w:color w:val="000000"/>
        </w:rPr>
        <w:t>’</w:t>
      </w:r>
      <w:r w:rsidRPr="00110213">
        <w:rPr>
          <w:color w:val="000000"/>
          <w:szCs w:val="24"/>
        </w:rPr>
        <w:t xml:space="preserve">s rates using the procedures adopted under </w:t>
      </w:r>
      <w:r>
        <w:rPr>
          <w:color w:val="000000"/>
        </w:rPr>
        <w:t>s</w:t>
      </w:r>
      <w:r w:rsidRPr="00110213">
        <w:rPr>
          <w:color w:val="000000"/>
          <w:szCs w:val="24"/>
        </w:rPr>
        <w:t>ubsection (e) not more than once each year and not more than four times between rate proceedings described by</w:t>
      </w:r>
      <w:r>
        <w:rPr>
          <w:color w:val="000000"/>
        </w:rPr>
        <w:t xml:space="preserve"> § </w:t>
      </w:r>
      <w:r w:rsidRPr="00110213">
        <w:rPr>
          <w:rStyle w:val="cite"/>
          <w:rFonts w:eastAsiaTheme="majorEastAsia"/>
          <w:color w:val="000000"/>
          <w:szCs w:val="24"/>
          <w:bdr w:val="none" w:sz="0" w:space="0" w:color="auto" w:frame="1"/>
        </w:rPr>
        <w:t>13.1871</w:t>
      </w:r>
      <w:r w:rsidRPr="00110213">
        <w:rPr>
          <w:color w:val="000000"/>
          <w:szCs w:val="24"/>
        </w:rPr>
        <w:t>.</w:t>
      </w:r>
    </w:p>
    <w:p w:rsidR="00102535" w:rsidRDefault="00FF7B59" w:rsidP="00C548F7">
      <w:pPr>
        <w:pStyle w:val="COLNumbered"/>
        <w:ind w:hanging="720"/>
        <w:rPr>
          <w:color w:val="000000"/>
        </w:rPr>
      </w:pPr>
      <w:r w:rsidRPr="00102535">
        <w:rPr>
          <w:color w:val="000000"/>
        </w:rPr>
        <w:t>Under 16 TAC §24.36(f)</w:t>
      </w:r>
      <w:r w:rsidR="009D38F8">
        <w:rPr>
          <w:color w:val="000000"/>
        </w:rPr>
        <w:t>(1)</w:t>
      </w:r>
      <w:r w:rsidRPr="00102535">
        <w:rPr>
          <w:color w:val="000000"/>
        </w:rPr>
        <w:t>, a Class C utility may adjust its rates not more than once each calendar year and not more than four time</w:t>
      </w:r>
      <w:r w:rsidR="00EF49A5">
        <w:rPr>
          <w:color w:val="000000"/>
        </w:rPr>
        <w:t>s</w:t>
      </w:r>
      <w:r w:rsidRPr="00102535">
        <w:rPr>
          <w:color w:val="000000"/>
        </w:rPr>
        <w:t xml:space="preserve"> between rate proceedings described by TWC § 13.</w:t>
      </w:r>
      <w:r w:rsidR="009D38F8">
        <w:rPr>
          <w:color w:val="000000"/>
        </w:rPr>
        <w:t>1</w:t>
      </w:r>
      <w:r w:rsidRPr="00102535">
        <w:rPr>
          <w:color w:val="000000"/>
        </w:rPr>
        <w:t>8</w:t>
      </w:r>
      <w:r w:rsidR="009D38F8">
        <w:rPr>
          <w:color w:val="000000"/>
        </w:rPr>
        <w:t>7</w:t>
      </w:r>
      <w:r w:rsidRPr="00102535">
        <w:rPr>
          <w:color w:val="000000"/>
        </w:rPr>
        <w:t xml:space="preserve">1. </w:t>
      </w:r>
      <w:r w:rsidR="00102535" w:rsidRPr="00102535">
        <w:rPr>
          <w:color w:val="000000"/>
        </w:rPr>
        <w:t xml:space="preserve"> </w:t>
      </w:r>
    </w:p>
    <w:p w:rsidR="00FF7B59" w:rsidRPr="00102535" w:rsidRDefault="009D38F8" w:rsidP="00C548F7">
      <w:pPr>
        <w:pStyle w:val="COLNumbered"/>
        <w:ind w:hanging="720"/>
        <w:rPr>
          <w:color w:val="000000"/>
        </w:rPr>
      </w:pPr>
      <w:r>
        <w:rPr>
          <w:color w:val="000000"/>
        </w:rPr>
        <w:t>Under 16 TAC §24.36(f)(2), t</w:t>
      </w:r>
      <w:r w:rsidR="00102535" w:rsidRPr="00102535">
        <w:rPr>
          <w:color w:val="000000"/>
        </w:rPr>
        <w:t xml:space="preserve">he </w:t>
      </w:r>
      <w:r w:rsidR="00FF7B59" w:rsidRPr="00102535">
        <w:rPr>
          <w:color w:val="000000"/>
        </w:rPr>
        <w:t xml:space="preserve">applications </w:t>
      </w:r>
      <w:r>
        <w:rPr>
          <w:color w:val="000000"/>
        </w:rPr>
        <w:t>c</w:t>
      </w:r>
      <w:r w:rsidR="00FF7B59" w:rsidRPr="00102535">
        <w:rPr>
          <w:color w:val="000000"/>
        </w:rPr>
        <w:t>a</w:t>
      </w:r>
      <w:r>
        <w:rPr>
          <w:color w:val="000000"/>
        </w:rPr>
        <w:t>n</w:t>
      </w:r>
      <w:r w:rsidR="00FF7B59" w:rsidRPr="00102535">
        <w:rPr>
          <w:color w:val="000000"/>
        </w:rPr>
        <w:t xml:space="preserve"> be submitted based on the last two digits of the applicant’s CCN number and according to the assigned month </w:t>
      </w:r>
      <w:r>
        <w:rPr>
          <w:color w:val="000000"/>
        </w:rPr>
        <w:t>and a utility holding multiple CCNs may file an application in any month for which any of its CCN numbers is eligible</w:t>
      </w:r>
      <w:r w:rsidR="00FF7B59" w:rsidRPr="00102535">
        <w:rPr>
          <w:color w:val="000000"/>
        </w:rPr>
        <w:t xml:space="preserve">. </w:t>
      </w:r>
    </w:p>
    <w:p w:rsidR="007959B2" w:rsidRPr="00FF7B59" w:rsidRDefault="007959B2" w:rsidP="00FF7B59">
      <w:pPr>
        <w:pStyle w:val="COLNumbered"/>
        <w:ind w:hanging="720"/>
        <w:rPr>
          <w:color w:val="000000"/>
        </w:rPr>
      </w:pPr>
      <w:bookmarkStart w:id="0" w:name="_GoBack"/>
      <w:bookmarkEnd w:id="0"/>
      <w:r>
        <w:rPr>
          <w:color w:val="000000"/>
        </w:rPr>
        <w:t>Because Manvel had filed an application in March 2017 for a water price index rate adjustment, it is prohibited under 16 TAC § 24.36(f)(1) from requesting a second rate adjustment in 2017.</w:t>
      </w:r>
    </w:p>
    <w:p w:rsidR="005C7B4E" w:rsidRPr="00CD11BB" w:rsidRDefault="005C7B4E" w:rsidP="00CD11BB">
      <w:pPr>
        <w:pStyle w:val="COLNumbered"/>
        <w:ind w:hanging="720"/>
        <w:rPr>
          <w:color w:val="000000"/>
        </w:rPr>
      </w:pPr>
      <w:r w:rsidRPr="00FF7B59">
        <w:rPr>
          <w:color w:val="000000"/>
        </w:rPr>
        <w:t xml:space="preserve">The application was processed in accordance with the requirements of </w:t>
      </w:r>
      <w:r w:rsidR="00977851">
        <w:rPr>
          <w:color w:val="000000"/>
        </w:rPr>
        <w:t xml:space="preserve">the </w:t>
      </w:r>
      <w:r w:rsidRPr="00FF7B59">
        <w:rPr>
          <w:color w:val="000000"/>
        </w:rPr>
        <w:t>TWC, the Administrative Procedure Act,</w:t>
      </w:r>
      <w:r w:rsidR="00977851">
        <w:rPr>
          <w:rStyle w:val="FootnoteReference"/>
          <w:color w:val="000000"/>
        </w:rPr>
        <w:footnoteReference w:id="7"/>
      </w:r>
      <w:r w:rsidRPr="00CD11BB">
        <w:rPr>
          <w:color w:val="000000"/>
        </w:rPr>
        <w:t xml:space="preserve"> and the Commission’s rules.</w:t>
      </w:r>
    </w:p>
    <w:p w:rsidR="005C7B4E" w:rsidRPr="0032099A" w:rsidRDefault="005C7B4E" w:rsidP="005C7B4E">
      <w:pPr>
        <w:pStyle w:val="Heading1"/>
        <w:spacing w:before="360" w:after="240"/>
      </w:pPr>
      <w:r w:rsidRPr="0032099A">
        <w:t>Ordering Paragraphs</w:t>
      </w:r>
    </w:p>
    <w:p w:rsidR="005C7B4E" w:rsidRPr="0032099A" w:rsidRDefault="00456532" w:rsidP="005C7B4E">
      <w:pPr>
        <w:pStyle w:val="BodyText"/>
      </w:pPr>
      <w:r>
        <w:tab/>
      </w:r>
      <w:r w:rsidR="005C7B4E" w:rsidRPr="0032099A">
        <w:t>In accordance with these findings of fact and conclusions of law, the Commission issues the following order</w:t>
      </w:r>
      <w:r w:rsidR="00CD11BB">
        <w:t>s</w:t>
      </w:r>
      <w:r w:rsidR="005C7B4E" w:rsidRPr="0032099A">
        <w:t>:</w:t>
      </w:r>
    </w:p>
    <w:p w:rsidR="005C7B4E" w:rsidRPr="00814148" w:rsidRDefault="005C7B4E" w:rsidP="005C7B4E">
      <w:pPr>
        <w:pStyle w:val="OrderingParagraph"/>
      </w:pPr>
      <w:r w:rsidRPr="00814148">
        <w:t xml:space="preserve">Manvel Utilities, LP’s application for a sewer price </w:t>
      </w:r>
      <w:r w:rsidR="007959B2">
        <w:t xml:space="preserve">index </w:t>
      </w:r>
      <w:r w:rsidRPr="00814148">
        <w:t xml:space="preserve">rate adjustment is denied. </w:t>
      </w:r>
    </w:p>
    <w:p w:rsidR="005C7B4E" w:rsidRPr="0032099A" w:rsidRDefault="005C7B4E" w:rsidP="005C7B4E">
      <w:pPr>
        <w:pStyle w:val="OrderingParagraph"/>
      </w:pPr>
      <w:r w:rsidRPr="0032099A">
        <w:t>All other motions and any other requests for general or specific relief, if not expressly granted, are denied.</w:t>
      </w:r>
    </w:p>
    <w:p w:rsidR="00DB4FA4" w:rsidRDefault="00DB4FA4" w:rsidP="00B60FA0">
      <w:pPr>
        <w:ind w:firstLine="720"/>
        <w:rPr>
          <w:b/>
          <w:szCs w:val="24"/>
        </w:rPr>
      </w:pPr>
    </w:p>
    <w:p w:rsidR="00CD11BB" w:rsidRDefault="00CD11BB" w:rsidP="009E38B1">
      <w:pPr>
        <w:pStyle w:val="Dateline"/>
        <w:keepNext w:val="0"/>
        <w:widowControl w:val="0"/>
      </w:pPr>
      <w:r>
        <w:t xml:space="preserve">Signed at Austin, Texas the ___________ day of </w:t>
      </w:r>
      <w:r w:rsidR="007959B2">
        <w:t xml:space="preserve">March </w:t>
      </w:r>
      <w:r>
        <w:t>201</w:t>
      </w:r>
      <w:r w:rsidR="00977851">
        <w:t>8</w:t>
      </w:r>
      <w:r>
        <w:t>.</w:t>
      </w:r>
    </w:p>
    <w:p w:rsidR="00CD11BB" w:rsidRDefault="00CD11BB" w:rsidP="009E38B1">
      <w:pPr>
        <w:pStyle w:val="Dateline"/>
        <w:keepNext w:val="0"/>
        <w:widowControl w:val="0"/>
      </w:pPr>
    </w:p>
    <w:p w:rsidR="00CD11BB" w:rsidRDefault="00CD11BB" w:rsidP="009E38B1">
      <w:pPr>
        <w:pStyle w:val="Signatures"/>
        <w:keepLines w:val="0"/>
        <w:widowControl w:val="0"/>
      </w:pPr>
      <w:r>
        <w:t>PUBLIC UTILITY COMMISSION OF TEXAS</w:t>
      </w:r>
    </w:p>
    <w:p w:rsidR="00CD11BB" w:rsidRDefault="00CD11BB" w:rsidP="009E38B1">
      <w:pPr>
        <w:pStyle w:val="Signatures"/>
        <w:keepLines w:val="0"/>
        <w:widowControl w:val="0"/>
      </w:pPr>
    </w:p>
    <w:p w:rsidR="00CD11BB" w:rsidRDefault="00CD11BB" w:rsidP="009E38B1">
      <w:pPr>
        <w:pStyle w:val="Signatures"/>
        <w:keepLines w:val="0"/>
        <w:widowControl w:val="0"/>
      </w:pPr>
    </w:p>
    <w:p w:rsidR="00CD11BB" w:rsidRDefault="00CD11BB" w:rsidP="009E38B1">
      <w:pPr>
        <w:pStyle w:val="Signatures"/>
        <w:keepLines w:val="0"/>
        <w:widowControl w:val="0"/>
      </w:pPr>
    </w:p>
    <w:p w:rsidR="00CD11BB" w:rsidRDefault="00CD11BB" w:rsidP="009E38B1">
      <w:pPr>
        <w:pStyle w:val="Signatures"/>
        <w:keepLines w:val="0"/>
        <w:widowControl w:val="0"/>
      </w:pPr>
      <w:r w:rsidRPr="00160DCD">
        <w:t>______________________________________________</w:t>
      </w:r>
    </w:p>
    <w:p w:rsidR="00CD11BB" w:rsidRDefault="00CD11BB" w:rsidP="009E38B1">
      <w:pPr>
        <w:pStyle w:val="Signatures"/>
        <w:keepLines w:val="0"/>
        <w:widowControl w:val="0"/>
      </w:pPr>
      <w:r>
        <w:t>DEANN T. WALKER, CHAIRMAN</w:t>
      </w:r>
    </w:p>
    <w:p w:rsidR="00CD11BB" w:rsidRDefault="00CD11BB" w:rsidP="009E38B1">
      <w:pPr>
        <w:pStyle w:val="Signatures"/>
        <w:keepLines w:val="0"/>
        <w:widowControl w:val="0"/>
      </w:pPr>
    </w:p>
    <w:p w:rsidR="00CD11BB" w:rsidRDefault="00CD11BB" w:rsidP="009E38B1">
      <w:pPr>
        <w:pStyle w:val="Signatures"/>
        <w:keepLines w:val="0"/>
        <w:widowControl w:val="0"/>
      </w:pPr>
    </w:p>
    <w:p w:rsidR="00CD11BB" w:rsidRDefault="00CD11BB" w:rsidP="009E38B1">
      <w:pPr>
        <w:pStyle w:val="Signatures"/>
        <w:keepLines w:val="0"/>
        <w:widowControl w:val="0"/>
      </w:pPr>
    </w:p>
    <w:p w:rsidR="00CD11BB" w:rsidRDefault="00CD11BB" w:rsidP="009E38B1">
      <w:pPr>
        <w:pStyle w:val="Signatures"/>
        <w:keepLines w:val="0"/>
        <w:widowControl w:val="0"/>
      </w:pPr>
      <w:r w:rsidRPr="00160DCD">
        <w:t>______________________________________________</w:t>
      </w:r>
    </w:p>
    <w:p w:rsidR="00CD11BB" w:rsidRDefault="00CD11BB" w:rsidP="009E38B1">
      <w:pPr>
        <w:pStyle w:val="Signatures"/>
        <w:keepLines w:val="0"/>
        <w:widowControl w:val="0"/>
      </w:pPr>
      <w:r>
        <w:t>BRANDY MARTY MARQUEZ, COMMISSIONER</w:t>
      </w:r>
    </w:p>
    <w:p w:rsidR="00CD11BB" w:rsidRDefault="00CD11BB" w:rsidP="009E38B1">
      <w:pPr>
        <w:pStyle w:val="Signatures"/>
        <w:keepLines w:val="0"/>
        <w:widowControl w:val="0"/>
      </w:pPr>
    </w:p>
    <w:p w:rsidR="00CD11BB" w:rsidRDefault="00CD11BB" w:rsidP="009E38B1">
      <w:pPr>
        <w:pStyle w:val="Signatures"/>
        <w:keepLines w:val="0"/>
        <w:widowControl w:val="0"/>
      </w:pPr>
    </w:p>
    <w:p w:rsidR="00CD11BB" w:rsidRDefault="00CD11BB" w:rsidP="009E38B1">
      <w:pPr>
        <w:pStyle w:val="Signatures"/>
        <w:keepLines w:val="0"/>
        <w:widowControl w:val="0"/>
      </w:pPr>
    </w:p>
    <w:p w:rsidR="00CD11BB" w:rsidRDefault="00CD11BB" w:rsidP="009E38B1">
      <w:pPr>
        <w:pStyle w:val="Signatures"/>
        <w:keepLines w:val="0"/>
        <w:widowControl w:val="0"/>
      </w:pPr>
      <w:r w:rsidRPr="00160DCD">
        <w:t>______________________________________________</w:t>
      </w:r>
    </w:p>
    <w:p w:rsidR="00CD11BB" w:rsidRDefault="00CD11BB" w:rsidP="009E38B1">
      <w:pPr>
        <w:pStyle w:val="Signatures"/>
        <w:keepLines w:val="0"/>
        <w:widowControl w:val="0"/>
      </w:pPr>
      <w:r>
        <w:t>ARTHUR C. D’ANDREA, COMMISSIONER</w:t>
      </w:r>
    </w:p>
    <w:p w:rsidR="00CD11BB" w:rsidRDefault="00CD11BB" w:rsidP="009E38B1">
      <w:pPr>
        <w:pStyle w:val="Signatures"/>
        <w:keepLines w:val="0"/>
        <w:widowControl w:val="0"/>
      </w:pPr>
    </w:p>
    <w:p w:rsidR="007528AC" w:rsidRPr="007528AC" w:rsidRDefault="007528AC" w:rsidP="009945AE">
      <w:pPr>
        <w:pStyle w:val="FilePath"/>
        <w:rPr>
          <w:rFonts w:ascii="Times New Roman" w:hAnsi="Times New Roman" w:cs="Times New Roman"/>
          <w:szCs w:val="16"/>
        </w:rPr>
      </w:pPr>
      <w:r w:rsidRPr="007528AC">
        <w:rPr>
          <w:rFonts w:ascii="Times New Roman" w:hAnsi="Times New Roman" w:cs="Times New Roman"/>
          <w:szCs w:val="16"/>
        </w:rPr>
        <w:fldChar w:fldCharType="begin"/>
      </w:r>
      <w:r w:rsidRPr="007528AC">
        <w:rPr>
          <w:rFonts w:ascii="Times New Roman" w:hAnsi="Times New Roman" w:cs="Times New Roman"/>
          <w:szCs w:val="16"/>
        </w:rPr>
        <w:instrText xml:space="preserve"> FILENAME  \p  \* MERGEFORMAT </w:instrText>
      </w:r>
      <w:r w:rsidRPr="007528AC">
        <w:rPr>
          <w:rFonts w:ascii="Times New Roman" w:hAnsi="Times New Roman" w:cs="Times New Roman"/>
          <w:szCs w:val="16"/>
        </w:rPr>
        <w:fldChar w:fldCharType="separate"/>
      </w:r>
      <w:r w:rsidR="00BB042B">
        <w:rPr>
          <w:rFonts w:ascii="Times New Roman" w:hAnsi="Times New Roman" w:cs="Times New Roman"/>
          <w:noProof/>
          <w:szCs w:val="16"/>
        </w:rPr>
        <w:t>Q:\CADM\Docket Management\Water\Rates\47XXX\47473 PO.docx</w:t>
      </w:r>
      <w:r w:rsidRPr="007528AC">
        <w:rPr>
          <w:rFonts w:ascii="Times New Roman" w:hAnsi="Times New Roman" w:cs="Times New Roman"/>
          <w:noProof/>
          <w:szCs w:val="16"/>
        </w:rPr>
        <w:fldChar w:fldCharType="end"/>
      </w:r>
    </w:p>
    <w:sectPr w:rsidR="007528AC" w:rsidRPr="007528AC" w:rsidSect="00DE0E13">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077" w:rsidRDefault="00700077" w:rsidP="00700077">
      <w:r>
        <w:separator/>
      </w:r>
    </w:p>
  </w:endnote>
  <w:endnote w:type="continuationSeparator" w:id="0">
    <w:p w:rsidR="00700077" w:rsidRDefault="00700077" w:rsidP="0070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077" w:rsidRDefault="00700077" w:rsidP="00700077">
      <w:r>
        <w:separator/>
      </w:r>
    </w:p>
  </w:footnote>
  <w:footnote w:type="continuationSeparator" w:id="0">
    <w:p w:rsidR="00700077" w:rsidRDefault="00700077" w:rsidP="00700077">
      <w:r>
        <w:continuationSeparator/>
      </w:r>
    </w:p>
  </w:footnote>
  <w:footnote w:id="1">
    <w:p w:rsidR="00102535" w:rsidRPr="00233697" w:rsidRDefault="00102535" w:rsidP="00C83496">
      <w:pPr>
        <w:pStyle w:val="FootnoteText"/>
        <w:widowControl w:val="0"/>
        <w:spacing w:before="120"/>
        <w:ind w:firstLine="720"/>
        <w:jc w:val="both"/>
        <w:rPr>
          <w:rFonts w:ascii="Times New Roman" w:hAnsi="Times New Roman" w:cs="Times New Roman"/>
          <w:sz w:val="18"/>
          <w:szCs w:val="18"/>
        </w:rPr>
      </w:pPr>
      <w:r w:rsidRPr="00233697">
        <w:rPr>
          <w:rStyle w:val="FootnoteReference"/>
          <w:rFonts w:ascii="Times New Roman" w:hAnsi="Times New Roman" w:cs="Times New Roman"/>
          <w:sz w:val="18"/>
          <w:szCs w:val="18"/>
        </w:rPr>
        <w:footnoteRef/>
      </w:r>
      <w:r w:rsidRPr="00233697">
        <w:rPr>
          <w:rFonts w:ascii="Times New Roman" w:hAnsi="Times New Roman" w:cs="Times New Roman"/>
          <w:sz w:val="18"/>
          <w:szCs w:val="18"/>
        </w:rPr>
        <w:t xml:space="preserve"> </w:t>
      </w:r>
      <w:r w:rsidR="00C83496">
        <w:rPr>
          <w:rFonts w:ascii="Times New Roman" w:hAnsi="Times New Roman" w:cs="Times New Roman"/>
          <w:sz w:val="18"/>
          <w:szCs w:val="18"/>
        </w:rPr>
        <w:t xml:space="preserve"> </w:t>
      </w:r>
      <w:r w:rsidRPr="00233697">
        <w:rPr>
          <w:rFonts w:ascii="Times New Roman" w:hAnsi="Times New Roman" w:cs="Times New Roman"/>
          <w:i/>
          <w:sz w:val="18"/>
          <w:szCs w:val="18"/>
        </w:rPr>
        <w:t>Application of Manvel Utilities, LP for a Price Index Rate Adjustment</w:t>
      </w:r>
      <w:r w:rsidRPr="00233697">
        <w:rPr>
          <w:rFonts w:ascii="Times New Roman" w:hAnsi="Times New Roman" w:cs="Times New Roman"/>
          <w:sz w:val="18"/>
          <w:szCs w:val="18"/>
        </w:rPr>
        <w:t>, Docket No. 46965, Notice of Approval (May</w:t>
      </w:r>
      <w:r w:rsidR="00C83496">
        <w:rPr>
          <w:rFonts w:ascii="Times New Roman" w:hAnsi="Times New Roman" w:cs="Times New Roman"/>
          <w:sz w:val="18"/>
          <w:szCs w:val="18"/>
        </w:rPr>
        <w:t> </w:t>
      </w:r>
      <w:r w:rsidRPr="00233697">
        <w:rPr>
          <w:rFonts w:ascii="Times New Roman" w:hAnsi="Times New Roman" w:cs="Times New Roman"/>
          <w:sz w:val="18"/>
          <w:szCs w:val="18"/>
        </w:rPr>
        <w:t>5,</w:t>
      </w:r>
      <w:r w:rsidR="00C83496">
        <w:rPr>
          <w:rFonts w:ascii="Times New Roman" w:hAnsi="Times New Roman" w:cs="Times New Roman"/>
          <w:sz w:val="18"/>
          <w:szCs w:val="18"/>
        </w:rPr>
        <w:t> </w:t>
      </w:r>
      <w:r w:rsidRPr="00233697">
        <w:rPr>
          <w:rFonts w:ascii="Times New Roman" w:hAnsi="Times New Roman" w:cs="Times New Roman"/>
          <w:sz w:val="18"/>
          <w:szCs w:val="18"/>
        </w:rPr>
        <w:t xml:space="preserve">2017). </w:t>
      </w:r>
    </w:p>
  </w:footnote>
  <w:footnote w:id="2">
    <w:p w:rsidR="009D38F8" w:rsidRPr="00233697" w:rsidRDefault="009D38F8" w:rsidP="00C83496">
      <w:pPr>
        <w:pStyle w:val="FootnoteText"/>
        <w:widowControl w:val="0"/>
        <w:spacing w:before="120"/>
        <w:ind w:firstLine="720"/>
        <w:jc w:val="both"/>
        <w:rPr>
          <w:sz w:val="18"/>
          <w:szCs w:val="18"/>
        </w:rPr>
      </w:pPr>
      <w:r w:rsidRPr="00C83496">
        <w:rPr>
          <w:rStyle w:val="FootnoteReference"/>
          <w:rFonts w:ascii="Times New Roman" w:hAnsi="Times New Roman" w:cs="Times New Roman"/>
          <w:sz w:val="18"/>
          <w:szCs w:val="18"/>
        </w:rPr>
        <w:footnoteRef/>
      </w:r>
      <w:r w:rsidR="00C83496">
        <w:rPr>
          <w:rFonts w:ascii="Times New Roman" w:hAnsi="Times New Roman" w:cs="Times New Roman"/>
        </w:rPr>
        <w:t xml:space="preserve">  </w:t>
      </w:r>
      <w:r w:rsidR="00C83496" w:rsidRPr="00C83496">
        <w:rPr>
          <w:rStyle w:val="FootnoteReference"/>
          <w:rFonts w:ascii="Times New Roman" w:hAnsi="Times New Roman" w:cs="Times New Roman"/>
          <w:sz w:val="18"/>
          <w:szCs w:val="18"/>
          <w:vertAlign w:val="baseline"/>
        </w:rPr>
        <w:t>Tex. Water Code Ann. § 13.</w:t>
      </w:r>
      <w:r w:rsidR="00C83496">
        <w:rPr>
          <w:rStyle w:val="FootnoteReference"/>
          <w:rFonts w:ascii="Times New Roman" w:hAnsi="Times New Roman" w:cs="Times New Roman"/>
          <w:sz w:val="18"/>
          <w:szCs w:val="18"/>
          <w:vertAlign w:val="baseline"/>
        </w:rPr>
        <w:t>187</w:t>
      </w:r>
      <w:r w:rsidR="00C83496" w:rsidRPr="00C83496">
        <w:rPr>
          <w:rStyle w:val="FootnoteReference"/>
          <w:rFonts w:ascii="Times New Roman" w:hAnsi="Times New Roman" w:cs="Times New Roman"/>
          <w:sz w:val="18"/>
          <w:szCs w:val="18"/>
          <w:vertAlign w:val="baseline"/>
        </w:rPr>
        <w:t>2</w:t>
      </w:r>
      <w:r w:rsidR="00C83496">
        <w:rPr>
          <w:rFonts w:ascii="Times New Roman" w:hAnsi="Times New Roman" w:cs="Times New Roman"/>
          <w:sz w:val="18"/>
          <w:szCs w:val="18"/>
        </w:rPr>
        <w:t>(f)</w:t>
      </w:r>
      <w:r w:rsidR="00C83496" w:rsidRPr="00C83496">
        <w:rPr>
          <w:rStyle w:val="FootnoteReference"/>
          <w:rFonts w:ascii="Times New Roman" w:hAnsi="Times New Roman" w:cs="Times New Roman"/>
          <w:sz w:val="18"/>
          <w:szCs w:val="18"/>
          <w:vertAlign w:val="baseline"/>
        </w:rPr>
        <w:t xml:space="preserve"> (West 2008 &amp; Supp. 2017).</w:t>
      </w:r>
    </w:p>
  </w:footnote>
  <w:footnote w:id="3">
    <w:p w:rsidR="009D38F8" w:rsidRPr="00C83496" w:rsidRDefault="009D38F8" w:rsidP="00C83496">
      <w:pPr>
        <w:pStyle w:val="FootnoteText"/>
        <w:spacing w:before="120"/>
        <w:ind w:firstLine="720"/>
        <w:jc w:val="both"/>
        <w:rPr>
          <w:rFonts w:ascii="Times New Roman" w:hAnsi="Times New Roman" w:cs="Times New Roman"/>
          <w:sz w:val="18"/>
          <w:szCs w:val="18"/>
        </w:rPr>
      </w:pPr>
      <w:r w:rsidRPr="00233697">
        <w:rPr>
          <w:rStyle w:val="FootnoteReference"/>
          <w:sz w:val="18"/>
          <w:szCs w:val="18"/>
        </w:rPr>
        <w:footnoteRef/>
      </w:r>
      <w:r w:rsidRPr="00233697">
        <w:rPr>
          <w:sz w:val="18"/>
          <w:szCs w:val="18"/>
        </w:rPr>
        <w:t xml:space="preserve"> </w:t>
      </w:r>
      <w:r w:rsidR="00C83496">
        <w:rPr>
          <w:sz w:val="18"/>
          <w:szCs w:val="18"/>
        </w:rPr>
        <w:t xml:space="preserve"> </w:t>
      </w:r>
      <w:r w:rsidR="00C83496" w:rsidRPr="00C83496">
        <w:rPr>
          <w:rFonts w:ascii="Times New Roman" w:hAnsi="Times New Roman" w:cs="Times New Roman"/>
          <w:sz w:val="18"/>
          <w:szCs w:val="18"/>
        </w:rPr>
        <w:t>Commission Staff</w:t>
      </w:r>
      <w:r w:rsidR="00456532">
        <w:rPr>
          <w:rFonts w:ascii="Times New Roman" w:hAnsi="Times New Roman" w:cs="Times New Roman"/>
          <w:sz w:val="18"/>
          <w:szCs w:val="18"/>
        </w:rPr>
        <w:t>’</w:t>
      </w:r>
      <w:r w:rsidR="00C83496" w:rsidRPr="00C83496">
        <w:rPr>
          <w:rFonts w:ascii="Times New Roman" w:hAnsi="Times New Roman" w:cs="Times New Roman"/>
          <w:sz w:val="18"/>
          <w:szCs w:val="18"/>
        </w:rPr>
        <w:t>s Recommendation on Administrative Completeness and Recommendation on Final Disposition</w:t>
      </w:r>
      <w:r w:rsidR="00C83496">
        <w:rPr>
          <w:rFonts w:ascii="Times New Roman" w:hAnsi="Times New Roman" w:cs="Times New Roman"/>
          <w:sz w:val="18"/>
          <w:szCs w:val="18"/>
        </w:rPr>
        <w:t xml:space="preserve"> at 2</w:t>
      </w:r>
      <w:r w:rsidR="00C83496" w:rsidRPr="00C83496">
        <w:rPr>
          <w:rFonts w:ascii="Times New Roman" w:hAnsi="Times New Roman" w:cs="Times New Roman"/>
          <w:sz w:val="18"/>
          <w:szCs w:val="18"/>
        </w:rPr>
        <w:t xml:space="preserve">, </w:t>
      </w:r>
      <w:r w:rsidR="00C83496">
        <w:rPr>
          <w:rFonts w:ascii="Times New Roman" w:hAnsi="Times New Roman" w:cs="Times New Roman"/>
          <w:sz w:val="18"/>
          <w:szCs w:val="18"/>
        </w:rPr>
        <w:t xml:space="preserve">(Sep. 5, 2017). </w:t>
      </w:r>
    </w:p>
  </w:footnote>
  <w:footnote w:id="4">
    <w:p w:rsidR="009D38F8" w:rsidRPr="00DC6A7C" w:rsidRDefault="009D38F8" w:rsidP="00DC6A7C">
      <w:pPr>
        <w:pStyle w:val="FootnoteText"/>
        <w:spacing w:before="120"/>
        <w:ind w:firstLine="720"/>
        <w:rPr>
          <w:rFonts w:ascii="Times New Roman" w:hAnsi="Times New Roman" w:cs="Times New Roman"/>
          <w:sz w:val="18"/>
          <w:szCs w:val="18"/>
        </w:rPr>
      </w:pPr>
      <w:r w:rsidRPr="00233697">
        <w:rPr>
          <w:rStyle w:val="FootnoteReference"/>
          <w:sz w:val="18"/>
          <w:szCs w:val="18"/>
        </w:rPr>
        <w:footnoteRef/>
      </w:r>
      <w:r w:rsidRPr="00233697">
        <w:rPr>
          <w:sz w:val="18"/>
          <w:szCs w:val="18"/>
        </w:rPr>
        <w:t xml:space="preserve"> </w:t>
      </w:r>
      <w:r w:rsidR="00C83496">
        <w:rPr>
          <w:sz w:val="18"/>
          <w:szCs w:val="18"/>
        </w:rPr>
        <w:t xml:space="preserve"> </w:t>
      </w:r>
      <w:r w:rsidR="00DC6A7C" w:rsidRPr="00DC6A7C">
        <w:rPr>
          <w:rFonts w:ascii="Times New Roman" w:hAnsi="Times New Roman" w:cs="Times New Roman"/>
          <w:sz w:val="18"/>
          <w:szCs w:val="18"/>
        </w:rPr>
        <w:t>Manvel Utilities</w:t>
      </w:r>
      <w:r w:rsidR="00456532">
        <w:rPr>
          <w:rFonts w:ascii="Times New Roman" w:hAnsi="Times New Roman" w:cs="Times New Roman"/>
          <w:sz w:val="18"/>
          <w:szCs w:val="18"/>
        </w:rPr>
        <w:t>’</w:t>
      </w:r>
      <w:r w:rsidR="00DC6A7C" w:rsidRPr="00DC6A7C">
        <w:rPr>
          <w:rFonts w:ascii="Times New Roman" w:hAnsi="Times New Roman" w:cs="Times New Roman"/>
          <w:sz w:val="18"/>
          <w:szCs w:val="18"/>
        </w:rPr>
        <w:t xml:space="preserve"> Response to Commission Staff</w:t>
      </w:r>
      <w:r w:rsidR="00DC6A7C">
        <w:rPr>
          <w:rFonts w:ascii="Times New Roman" w:hAnsi="Times New Roman" w:cs="Times New Roman"/>
          <w:sz w:val="18"/>
          <w:szCs w:val="18"/>
        </w:rPr>
        <w:t xml:space="preserve">, September 27, 2017. </w:t>
      </w:r>
    </w:p>
  </w:footnote>
  <w:footnote w:id="5">
    <w:p w:rsidR="009D38F8" w:rsidRPr="00233697" w:rsidRDefault="009D38F8" w:rsidP="00456532">
      <w:pPr>
        <w:pStyle w:val="FootnoteText"/>
        <w:spacing w:before="120"/>
        <w:ind w:firstLine="720"/>
        <w:jc w:val="both"/>
        <w:rPr>
          <w:sz w:val="18"/>
          <w:szCs w:val="18"/>
        </w:rPr>
      </w:pPr>
      <w:r w:rsidRPr="00233697">
        <w:rPr>
          <w:rStyle w:val="FootnoteReference"/>
          <w:sz w:val="18"/>
          <w:szCs w:val="18"/>
        </w:rPr>
        <w:footnoteRef/>
      </w:r>
      <w:r w:rsidRPr="00233697">
        <w:rPr>
          <w:sz w:val="18"/>
          <w:szCs w:val="18"/>
        </w:rPr>
        <w:t xml:space="preserve"> </w:t>
      </w:r>
      <w:r w:rsidR="00C83496">
        <w:rPr>
          <w:sz w:val="18"/>
          <w:szCs w:val="18"/>
        </w:rPr>
        <w:t xml:space="preserve"> </w:t>
      </w:r>
      <w:r w:rsidR="00456532" w:rsidRPr="00C83496">
        <w:rPr>
          <w:rFonts w:ascii="Times New Roman" w:hAnsi="Times New Roman" w:cs="Times New Roman"/>
          <w:sz w:val="18"/>
          <w:szCs w:val="18"/>
        </w:rPr>
        <w:t>Commission Staff</w:t>
      </w:r>
      <w:r w:rsidR="00456532">
        <w:rPr>
          <w:rFonts w:ascii="Times New Roman" w:hAnsi="Times New Roman" w:cs="Times New Roman"/>
          <w:sz w:val="18"/>
          <w:szCs w:val="18"/>
        </w:rPr>
        <w:t>’</w:t>
      </w:r>
      <w:r w:rsidR="00456532" w:rsidRPr="00C83496">
        <w:rPr>
          <w:rFonts w:ascii="Times New Roman" w:hAnsi="Times New Roman" w:cs="Times New Roman"/>
          <w:sz w:val="18"/>
          <w:szCs w:val="18"/>
        </w:rPr>
        <w:t>s Recommendation on Administrative Completeness and Recommendation on Final Disposition</w:t>
      </w:r>
      <w:r w:rsidR="00456532">
        <w:rPr>
          <w:rFonts w:ascii="Times New Roman" w:hAnsi="Times New Roman" w:cs="Times New Roman"/>
          <w:sz w:val="18"/>
          <w:szCs w:val="18"/>
        </w:rPr>
        <w:t xml:space="preserve"> at 2</w:t>
      </w:r>
      <w:r w:rsidR="00456532" w:rsidRPr="00C83496">
        <w:rPr>
          <w:rFonts w:ascii="Times New Roman" w:hAnsi="Times New Roman" w:cs="Times New Roman"/>
          <w:sz w:val="18"/>
          <w:szCs w:val="18"/>
        </w:rPr>
        <w:t xml:space="preserve">, </w:t>
      </w:r>
      <w:r w:rsidR="00456532">
        <w:rPr>
          <w:rFonts w:ascii="Times New Roman" w:hAnsi="Times New Roman" w:cs="Times New Roman"/>
          <w:sz w:val="18"/>
          <w:szCs w:val="18"/>
        </w:rPr>
        <w:t xml:space="preserve">(Sep. 5, 2017). </w:t>
      </w:r>
    </w:p>
  </w:footnote>
  <w:footnote w:id="6">
    <w:p w:rsidR="00457FD4" w:rsidRPr="00233697" w:rsidRDefault="00457FD4" w:rsidP="00DC6A7C">
      <w:pPr>
        <w:pStyle w:val="FootnoteText"/>
        <w:spacing w:before="120"/>
        <w:ind w:firstLine="720"/>
        <w:rPr>
          <w:rFonts w:ascii="Times New Roman" w:hAnsi="Times New Roman" w:cs="Times New Roman"/>
          <w:sz w:val="18"/>
          <w:szCs w:val="18"/>
        </w:rPr>
      </w:pPr>
      <w:r w:rsidRPr="00233697">
        <w:rPr>
          <w:rStyle w:val="FootnoteReference"/>
          <w:rFonts w:ascii="Times New Roman" w:hAnsi="Times New Roman" w:cs="Times New Roman"/>
          <w:sz w:val="18"/>
          <w:szCs w:val="18"/>
        </w:rPr>
        <w:footnoteRef/>
      </w:r>
      <w:r w:rsidRPr="00233697">
        <w:rPr>
          <w:rFonts w:ascii="Times New Roman" w:hAnsi="Times New Roman" w:cs="Times New Roman"/>
          <w:sz w:val="18"/>
          <w:szCs w:val="18"/>
        </w:rPr>
        <w:t xml:space="preserve"> </w:t>
      </w:r>
      <w:r w:rsidR="00C83496">
        <w:rPr>
          <w:rFonts w:ascii="Times New Roman" w:hAnsi="Times New Roman" w:cs="Times New Roman"/>
          <w:sz w:val="18"/>
          <w:szCs w:val="18"/>
        </w:rPr>
        <w:t xml:space="preserve"> </w:t>
      </w:r>
      <w:r w:rsidRPr="00233697">
        <w:rPr>
          <w:rFonts w:ascii="Times New Roman" w:hAnsi="Times New Roman" w:cs="Times New Roman"/>
          <w:i/>
          <w:sz w:val="18"/>
          <w:szCs w:val="18"/>
        </w:rPr>
        <w:t>Application of Manvel Utilities, LP for a Price Rate Index Rate Adjustment</w:t>
      </w:r>
      <w:r w:rsidRPr="00233697">
        <w:rPr>
          <w:rFonts w:ascii="Times New Roman" w:hAnsi="Times New Roman" w:cs="Times New Roman"/>
          <w:sz w:val="18"/>
          <w:szCs w:val="18"/>
        </w:rPr>
        <w:t xml:space="preserve">, Docket No. 46965, Notice of Approval (May 5, 2017). </w:t>
      </w:r>
    </w:p>
  </w:footnote>
  <w:footnote w:id="7">
    <w:p w:rsidR="00977851" w:rsidRPr="00233697" w:rsidRDefault="00977851" w:rsidP="00977851">
      <w:pPr>
        <w:ind w:firstLine="720"/>
        <w:rPr>
          <w:sz w:val="18"/>
          <w:szCs w:val="18"/>
        </w:rPr>
      </w:pPr>
      <w:r w:rsidRPr="00233697">
        <w:rPr>
          <w:rStyle w:val="FootnoteReference"/>
          <w:sz w:val="18"/>
          <w:szCs w:val="18"/>
        </w:rPr>
        <w:footnoteRef/>
      </w:r>
      <w:r w:rsidRPr="00233697">
        <w:rPr>
          <w:sz w:val="18"/>
          <w:szCs w:val="18"/>
        </w:rPr>
        <w:t xml:space="preserve">  Administrative Procedure Act, Tex. Gov</w:t>
      </w:r>
      <w:r w:rsidR="00456532">
        <w:rPr>
          <w:sz w:val="18"/>
          <w:szCs w:val="18"/>
        </w:rPr>
        <w:t>’</w:t>
      </w:r>
      <w:r w:rsidRPr="00233697">
        <w:rPr>
          <w:sz w:val="18"/>
          <w:szCs w:val="18"/>
        </w:rPr>
        <w:t>t Code Ann. §§ 2001.001- .902 (West 2016 &amp; Supp. 2017).</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4FA4" w:rsidRPr="00BB042B" w:rsidRDefault="00DB4FA4">
    <w:pPr>
      <w:pStyle w:val="Header"/>
      <w:rPr>
        <w:b/>
        <w:bCs/>
        <w:sz w:val="22"/>
        <w:szCs w:val="22"/>
      </w:rPr>
    </w:pPr>
    <w:r w:rsidRPr="00BB042B">
      <w:rPr>
        <w:b/>
        <w:sz w:val="22"/>
        <w:szCs w:val="22"/>
      </w:rPr>
      <w:t>Docket No. 4</w:t>
    </w:r>
    <w:r w:rsidR="00BB042B" w:rsidRPr="00BB042B">
      <w:rPr>
        <w:b/>
        <w:sz w:val="22"/>
        <w:szCs w:val="22"/>
      </w:rPr>
      <w:t>7473</w:t>
    </w:r>
    <w:r w:rsidRPr="00BB042B">
      <w:rPr>
        <w:b/>
        <w:sz w:val="22"/>
        <w:szCs w:val="22"/>
      </w:rPr>
      <w:tab/>
      <w:t xml:space="preserve">Proposed Order </w:t>
    </w:r>
    <w:r w:rsidRPr="00BB042B">
      <w:rPr>
        <w:b/>
        <w:sz w:val="22"/>
        <w:szCs w:val="22"/>
      </w:rPr>
      <w:tab/>
      <w:t xml:space="preserve">Page </w:t>
    </w:r>
    <w:r w:rsidRPr="00BB042B">
      <w:rPr>
        <w:b/>
        <w:bCs/>
        <w:sz w:val="22"/>
        <w:szCs w:val="22"/>
      </w:rPr>
      <w:fldChar w:fldCharType="begin"/>
    </w:r>
    <w:r w:rsidRPr="00BB042B">
      <w:rPr>
        <w:b/>
        <w:bCs/>
        <w:sz w:val="22"/>
        <w:szCs w:val="22"/>
      </w:rPr>
      <w:instrText xml:space="preserve"> PAGE  \* Arabic  \* MERGEFORMAT </w:instrText>
    </w:r>
    <w:r w:rsidRPr="00BB042B">
      <w:rPr>
        <w:b/>
        <w:bCs/>
        <w:sz w:val="22"/>
        <w:szCs w:val="22"/>
      </w:rPr>
      <w:fldChar w:fldCharType="separate"/>
    </w:r>
    <w:r w:rsidR="00D213C1">
      <w:rPr>
        <w:b/>
        <w:bCs/>
        <w:noProof/>
        <w:sz w:val="22"/>
        <w:szCs w:val="22"/>
      </w:rPr>
      <w:t>3</w:t>
    </w:r>
    <w:r w:rsidRPr="00BB042B">
      <w:rPr>
        <w:b/>
        <w:bCs/>
        <w:sz w:val="22"/>
        <w:szCs w:val="22"/>
      </w:rPr>
      <w:fldChar w:fldCharType="end"/>
    </w:r>
    <w:r w:rsidRPr="00BB042B">
      <w:rPr>
        <w:b/>
        <w:sz w:val="22"/>
        <w:szCs w:val="22"/>
      </w:rPr>
      <w:t xml:space="preserve"> of </w:t>
    </w:r>
    <w:r w:rsidRPr="00BB042B">
      <w:rPr>
        <w:b/>
        <w:bCs/>
        <w:sz w:val="22"/>
        <w:szCs w:val="22"/>
      </w:rPr>
      <w:fldChar w:fldCharType="begin"/>
    </w:r>
    <w:r w:rsidRPr="00BB042B">
      <w:rPr>
        <w:b/>
        <w:bCs/>
        <w:sz w:val="22"/>
        <w:szCs w:val="22"/>
      </w:rPr>
      <w:instrText xml:space="preserve"> NUMPAGES  \* Arabic  \* MERGEFORMAT </w:instrText>
    </w:r>
    <w:r w:rsidRPr="00BB042B">
      <w:rPr>
        <w:b/>
        <w:bCs/>
        <w:sz w:val="22"/>
        <w:szCs w:val="22"/>
      </w:rPr>
      <w:fldChar w:fldCharType="separate"/>
    </w:r>
    <w:r w:rsidR="00D213C1">
      <w:rPr>
        <w:b/>
        <w:bCs/>
        <w:noProof/>
        <w:sz w:val="22"/>
        <w:szCs w:val="22"/>
      </w:rPr>
      <w:t>4</w:t>
    </w:r>
    <w:r w:rsidRPr="00BB042B">
      <w:rPr>
        <w:b/>
        <w:bCs/>
        <w:sz w:val="22"/>
        <w:szCs w:val="22"/>
      </w:rPr>
      <w:fldChar w:fldCharType="end"/>
    </w:r>
  </w:p>
  <w:p w:rsidR="00DB4FA4" w:rsidRDefault="00DB4FA4">
    <w:pPr>
      <w:pStyle w:val="Header"/>
      <w:rPr>
        <w:b/>
        <w:bCs/>
      </w:rPr>
    </w:pPr>
  </w:p>
  <w:p w:rsidR="00DB4FA4" w:rsidRPr="00DB4FA4" w:rsidRDefault="00DB4FA4">
    <w:pPr>
      <w:pStyle w:val="Heade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1" w15:restartNumberingAfterBreak="0">
    <w:nsid w:val="301727C2"/>
    <w:multiLevelType w:val="hybridMultilevel"/>
    <w:tmpl w:val="0C94E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3"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5" w15:restartNumberingAfterBreak="0">
    <w:nsid w:val="78EA08D8"/>
    <w:multiLevelType w:val="hybridMultilevel"/>
    <w:tmpl w:val="E7FAE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3"/>
  </w:num>
  <w:num w:numId="8">
    <w:abstractNumId w:val="3"/>
  </w:num>
  <w:num w:numId="9">
    <w:abstractNumId w:val="3"/>
  </w:num>
  <w:num w:numId="10">
    <w:abstractNumId w:val="3"/>
  </w:num>
  <w:num w:numId="11">
    <w:abstractNumId w:val="2"/>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2243"/>
    <w:rsid w:val="0008415C"/>
    <w:rsid w:val="000D04A5"/>
    <w:rsid w:val="00102535"/>
    <w:rsid w:val="00110213"/>
    <w:rsid w:val="001210DA"/>
    <w:rsid w:val="001335E9"/>
    <w:rsid w:val="001B0849"/>
    <w:rsid w:val="001C7B68"/>
    <w:rsid w:val="00233697"/>
    <w:rsid w:val="00250CDD"/>
    <w:rsid w:val="00284CAD"/>
    <w:rsid w:val="00296B57"/>
    <w:rsid w:val="002A2351"/>
    <w:rsid w:val="002A7AF0"/>
    <w:rsid w:val="002E4D09"/>
    <w:rsid w:val="003679AA"/>
    <w:rsid w:val="00384458"/>
    <w:rsid w:val="004178FE"/>
    <w:rsid w:val="00456532"/>
    <w:rsid w:val="00457FD4"/>
    <w:rsid w:val="00487995"/>
    <w:rsid w:val="004D2243"/>
    <w:rsid w:val="004E1632"/>
    <w:rsid w:val="004F11F2"/>
    <w:rsid w:val="004F7CE1"/>
    <w:rsid w:val="004F7E2D"/>
    <w:rsid w:val="005C16DE"/>
    <w:rsid w:val="005C7B4E"/>
    <w:rsid w:val="00636A46"/>
    <w:rsid w:val="006566D3"/>
    <w:rsid w:val="006D6F7B"/>
    <w:rsid w:val="00700077"/>
    <w:rsid w:val="007528AC"/>
    <w:rsid w:val="00760D86"/>
    <w:rsid w:val="007959B2"/>
    <w:rsid w:val="007B3B13"/>
    <w:rsid w:val="00814148"/>
    <w:rsid w:val="008602D7"/>
    <w:rsid w:val="008C7CC6"/>
    <w:rsid w:val="00922EC3"/>
    <w:rsid w:val="00937F4E"/>
    <w:rsid w:val="00977851"/>
    <w:rsid w:val="009833FF"/>
    <w:rsid w:val="0098752A"/>
    <w:rsid w:val="009D38F8"/>
    <w:rsid w:val="00A12395"/>
    <w:rsid w:val="00A5129E"/>
    <w:rsid w:val="00AC2E5D"/>
    <w:rsid w:val="00BA770A"/>
    <w:rsid w:val="00BB042B"/>
    <w:rsid w:val="00BD2254"/>
    <w:rsid w:val="00C83496"/>
    <w:rsid w:val="00C860E4"/>
    <w:rsid w:val="00CC50A8"/>
    <w:rsid w:val="00CD11BB"/>
    <w:rsid w:val="00D213C1"/>
    <w:rsid w:val="00D524D8"/>
    <w:rsid w:val="00DB4FA4"/>
    <w:rsid w:val="00DC6A7C"/>
    <w:rsid w:val="00DE0E13"/>
    <w:rsid w:val="00DF3910"/>
    <w:rsid w:val="00E50FA5"/>
    <w:rsid w:val="00E81BF3"/>
    <w:rsid w:val="00EA7952"/>
    <w:rsid w:val="00EC45EF"/>
    <w:rsid w:val="00EF49A5"/>
    <w:rsid w:val="00F35D28"/>
    <w:rsid w:val="00F875EB"/>
    <w:rsid w:val="00FD034C"/>
    <w:rsid w:val="00FF7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E346C48A-E4D9-45C7-B25E-A0B080FD6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077"/>
    <w:pPr>
      <w:spacing w:after="0" w:line="240" w:lineRule="auto"/>
      <w:jc w:val="both"/>
    </w:pPr>
    <w:rPr>
      <w:rFonts w:ascii="Times New Roman" w:eastAsia="Times New Roman" w:hAnsi="Times New Roman" w:cs="Times New Roman"/>
      <w:sz w:val="24"/>
      <w:szCs w:val="20"/>
      <w:lang w:eastAsia="zh-TW"/>
    </w:rPr>
  </w:style>
  <w:style w:type="paragraph" w:styleId="Heading1">
    <w:name w:val="heading 1"/>
    <w:basedOn w:val="Normal"/>
    <w:next w:val="BodyText"/>
    <w:link w:val="Heading1Char"/>
    <w:qFormat/>
    <w:rsid w:val="005C7B4E"/>
    <w:pPr>
      <w:keepNext/>
      <w:keepLines/>
      <w:numPr>
        <w:numId w:val="4"/>
      </w:numPr>
      <w:spacing w:before="240" w:after="120"/>
      <w:jc w:val="center"/>
      <w:outlineLvl w:val="0"/>
    </w:pPr>
    <w:rPr>
      <w:rFonts w:eastAsiaTheme="majorEastAsia" w:cstheme="majorBidi"/>
      <w:b/>
      <w:szCs w:val="32"/>
      <w:lang w:eastAsia="en-US"/>
    </w:rPr>
  </w:style>
  <w:style w:type="paragraph" w:styleId="Heading2">
    <w:name w:val="heading 2"/>
    <w:basedOn w:val="Normal"/>
    <w:next w:val="Normal"/>
    <w:link w:val="Heading2Char"/>
    <w:qFormat/>
    <w:rsid w:val="005C7B4E"/>
    <w:pPr>
      <w:keepNext/>
      <w:keepLines/>
      <w:numPr>
        <w:ilvl w:val="1"/>
        <w:numId w:val="4"/>
      </w:numPr>
      <w:spacing w:before="120" w:after="120"/>
      <w:jc w:val="center"/>
      <w:outlineLvl w:val="1"/>
    </w:pPr>
    <w:rPr>
      <w:rFonts w:eastAsiaTheme="majorEastAsia" w:cstheme="majorBidi"/>
      <w:b/>
      <w:szCs w:val="26"/>
      <w:lang w:eastAsia="en-US"/>
    </w:rPr>
  </w:style>
  <w:style w:type="paragraph" w:styleId="Heading3">
    <w:name w:val="heading 3"/>
    <w:basedOn w:val="Normal"/>
    <w:next w:val="BodyText"/>
    <w:link w:val="Heading3Char"/>
    <w:qFormat/>
    <w:rsid w:val="005C7B4E"/>
    <w:pPr>
      <w:keepNext/>
      <w:keepLines/>
      <w:numPr>
        <w:ilvl w:val="2"/>
        <w:numId w:val="4"/>
      </w:numPr>
      <w:spacing w:before="120"/>
      <w:jc w:val="left"/>
      <w:outlineLvl w:val="2"/>
    </w:pPr>
    <w:rPr>
      <w:rFonts w:eastAsiaTheme="majorEastAsia" w:cstheme="majorBidi"/>
      <w:b/>
      <w:szCs w:val="24"/>
      <w:lang w:eastAsia="en-US"/>
    </w:rPr>
  </w:style>
  <w:style w:type="paragraph" w:styleId="Heading4">
    <w:name w:val="heading 4"/>
    <w:basedOn w:val="Normal"/>
    <w:next w:val="BodyText"/>
    <w:link w:val="Heading4Char"/>
    <w:rsid w:val="005C7B4E"/>
    <w:pPr>
      <w:keepNext/>
      <w:keepLines/>
      <w:numPr>
        <w:ilvl w:val="3"/>
        <w:numId w:val="4"/>
      </w:numPr>
      <w:spacing w:before="120"/>
      <w:jc w:val="left"/>
      <w:outlineLvl w:val="3"/>
    </w:pPr>
    <w:rPr>
      <w:rFonts w:eastAsiaTheme="majorEastAsia" w:cstheme="majorBidi"/>
      <w:b/>
      <w:iCs/>
      <w:szCs w:val="24"/>
      <w:lang w:eastAsia="en-US"/>
    </w:rPr>
  </w:style>
  <w:style w:type="paragraph" w:styleId="Heading5">
    <w:name w:val="heading 5"/>
    <w:basedOn w:val="Normal"/>
    <w:next w:val="BodyText"/>
    <w:link w:val="Heading5Char"/>
    <w:rsid w:val="005C7B4E"/>
    <w:pPr>
      <w:keepNext/>
      <w:keepLines/>
      <w:numPr>
        <w:ilvl w:val="4"/>
        <w:numId w:val="4"/>
      </w:numPr>
      <w:spacing w:before="120"/>
      <w:jc w:val="left"/>
      <w:outlineLvl w:val="4"/>
    </w:pPr>
    <w:rPr>
      <w:rFonts w:eastAsiaTheme="majorEastAsia" w:cstheme="majorBidi"/>
      <w:b/>
      <w:szCs w:val="24"/>
      <w:lang w:eastAsia="en-US"/>
    </w:rPr>
  </w:style>
  <w:style w:type="paragraph" w:styleId="Heading6">
    <w:name w:val="heading 6"/>
    <w:basedOn w:val="Normal"/>
    <w:next w:val="BodyText"/>
    <w:link w:val="Heading6Char"/>
    <w:rsid w:val="005C7B4E"/>
    <w:pPr>
      <w:keepNext/>
      <w:keepLines/>
      <w:numPr>
        <w:ilvl w:val="5"/>
        <w:numId w:val="4"/>
      </w:numPr>
      <w:spacing w:before="120"/>
      <w:jc w:val="left"/>
      <w:outlineLvl w:val="5"/>
    </w:pPr>
    <w:rPr>
      <w:rFonts w:eastAsiaTheme="majorEastAsia" w:cstheme="majorBidi"/>
      <w:b/>
      <w:szCs w:val="24"/>
      <w:lang w:eastAsia="en-US"/>
    </w:rPr>
  </w:style>
  <w:style w:type="paragraph" w:styleId="Heading7">
    <w:name w:val="heading 7"/>
    <w:basedOn w:val="Normal"/>
    <w:next w:val="FOFNumbered"/>
    <w:link w:val="Heading7Char"/>
    <w:qFormat/>
    <w:rsid w:val="005C7B4E"/>
    <w:pPr>
      <w:keepNext/>
      <w:keepLines/>
      <w:numPr>
        <w:ilvl w:val="6"/>
        <w:numId w:val="4"/>
      </w:numPr>
      <w:spacing w:before="120"/>
      <w:jc w:val="left"/>
      <w:outlineLvl w:val="6"/>
    </w:pPr>
    <w:rPr>
      <w:rFonts w:eastAsiaTheme="majorEastAsia" w:cstheme="majorBidi"/>
      <w:b/>
      <w:i/>
      <w:iCs/>
      <w:szCs w:val="24"/>
      <w:u w:val="single"/>
      <w:lang w:eastAsia="en-US"/>
    </w:rPr>
  </w:style>
  <w:style w:type="paragraph" w:styleId="Heading8">
    <w:name w:val="heading 8"/>
    <w:basedOn w:val="Normal"/>
    <w:next w:val="Heading9"/>
    <w:link w:val="Heading8Char"/>
    <w:rsid w:val="005C7B4E"/>
    <w:pPr>
      <w:keepNext/>
      <w:keepLines/>
      <w:numPr>
        <w:ilvl w:val="7"/>
        <w:numId w:val="4"/>
      </w:numPr>
      <w:spacing w:before="120"/>
      <w:jc w:val="left"/>
      <w:outlineLvl w:val="7"/>
    </w:pPr>
    <w:rPr>
      <w:rFonts w:eastAsiaTheme="majorEastAsia" w:cstheme="majorBidi"/>
      <w:b/>
      <w:i/>
      <w:szCs w:val="21"/>
      <w:u w:val="single"/>
      <w:lang w:eastAsia="en-US"/>
    </w:rPr>
  </w:style>
  <w:style w:type="paragraph" w:styleId="Heading9">
    <w:name w:val="heading 9"/>
    <w:basedOn w:val="Normal"/>
    <w:next w:val="FOFNumbered"/>
    <w:link w:val="Heading9Char"/>
    <w:rsid w:val="005C7B4E"/>
    <w:pPr>
      <w:keepNext/>
      <w:keepLines/>
      <w:numPr>
        <w:ilvl w:val="8"/>
        <w:numId w:val="4"/>
      </w:numPr>
      <w:spacing w:before="120"/>
      <w:jc w:val="left"/>
      <w:outlineLvl w:val="8"/>
    </w:pPr>
    <w:rPr>
      <w:rFonts w:eastAsiaTheme="majorEastAsia" w:cstheme="majorBidi"/>
      <w:b/>
      <w:i/>
      <w:iCs/>
      <w:szCs w:val="21"/>
      <w:u w:val="single"/>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edCharChar">
    <w:name w:val="Body Text Indented Char Char"/>
    <w:basedOn w:val="DefaultParagraphFont"/>
    <w:link w:val="BodyTextIndented"/>
    <w:locked/>
    <w:rsid w:val="00700077"/>
    <w:rPr>
      <w:rFonts w:ascii="SimSun" w:eastAsia="SimSun" w:hAnsi="SimSun"/>
      <w:sz w:val="24"/>
      <w:szCs w:val="24"/>
      <w:lang w:eastAsia="zh-CN"/>
    </w:rPr>
  </w:style>
  <w:style w:type="paragraph" w:customStyle="1" w:styleId="BodyTextIndented">
    <w:name w:val="Body Text Indented"/>
    <w:basedOn w:val="Normal"/>
    <w:link w:val="BodyTextIndentedCharChar"/>
    <w:qFormat/>
    <w:rsid w:val="00700077"/>
    <w:pPr>
      <w:spacing w:before="120" w:line="360" w:lineRule="auto"/>
      <w:ind w:firstLine="720"/>
    </w:pPr>
    <w:rPr>
      <w:rFonts w:ascii="SimSun" w:eastAsia="SimSun" w:hAnsi="SimSun" w:cstheme="minorBidi"/>
      <w:szCs w:val="24"/>
      <w:lang w:eastAsia="zh-CN"/>
    </w:rPr>
  </w:style>
  <w:style w:type="character" w:customStyle="1" w:styleId="DocketNumberChar">
    <w:name w:val="Docket Number Char"/>
    <w:basedOn w:val="DefaultParagraphFont"/>
    <w:link w:val="DocketNumber"/>
    <w:locked/>
    <w:rsid w:val="00700077"/>
    <w:rPr>
      <w:rFonts w:asciiTheme="majorHAnsi" w:eastAsiaTheme="majorEastAsia" w:hAnsiTheme="majorHAnsi" w:cstheme="majorBidi"/>
      <w:b/>
      <w:caps/>
      <w:spacing w:val="-10"/>
      <w:kern w:val="28"/>
      <w:sz w:val="24"/>
      <w:szCs w:val="24"/>
      <w:lang w:eastAsia="zh-TW"/>
    </w:rPr>
  </w:style>
  <w:style w:type="paragraph" w:customStyle="1" w:styleId="DocketNumber">
    <w:name w:val="Docket Number"/>
    <w:basedOn w:val="Title"/>
    <w:link w:val="DocketNumberChar"/>
    <w:qFormat/>
    <w:rsid w:val="00700077"/>
    <w:pPr>
      <w:snapToGrid w:val="0"/>
      <w:spacing w:after="480"/>
      <w:contextualSpacing w:val="0"/>
      <w:jc w:val="center"/>
    </w:pPr>
    <w:rPr>
      <w:b/>
      <w:caps/>
      <w:sz w:val="24"/>
      <w:szCs w:val="24"/>
    </w:rPr>
  </w:style>
  <w:style w:type="character" w:customStyle="1" w:styleId="FilePathChar">
    <w:name w:val="File Path Char"/>
    <w:basedOn w:val="DefaultParagraphFont"/>
    <w:link w:val="FilePath"/>
    <w:locked/>
    <w:rsid w:val="00700077"/>
    <w:rPr>
      <w:sz w:val="16"/>
      <w:lang w:eastAsia="zh-TW"/>
    </w:rPr>
  </w:style>
  <w:style w:type="paragraph" w:customStyle="1" w:styleId="FilePath">
    <w:name w:val="File Path"/>
    <w:basedOn w:val="Normal"/>
    <w:link w:val="FilePathChar"/>
    <w:qFormat/>
    <w:rsid w:val="00700077"/>
    <w:pPr>
      <w:spacing w:before="120"/>
    </w:pPr>
    <w:rPr>
      <w:rFonts w:asciiTheme="minorHAnsi" w:eastAsiaTheme="minorHAnsi" w:hAnsiTheme="minorHAnsi" w:cstheme="minorBidi"/>
      <w:sz w:val="16"/>
      <w:szCs w:val="22"/>
    </w:rPr>
  </w:style>
  <w:style w:type="paragraph" w:customStyle="1" w:styleId="orderclosing1">
    <w:name w:val="order closing1"/>
    <w:basedOn w:val="Normal"/>
    <w:rsid w:val="00700077"/>
    <w:pPr>
      <w:spacing w:after="240"/>
      <w:ind w:firstLine="720"/>
      <w:jc w:val="left"/>
    </w:pPr>
    <w:rPr>
      <w:b/>
      <w:sz w:val="22"/>
      <w:lang w:eastAsia="en-US"/>
    </w:rPr>
  </w:style>
  <w:style w:type="table" w:customStyle="1" w:styleId="TableGrid1">
    <w:name w:val="Table Grid1"/>
    <w:basedOn w:val="TableNormal"/>
    <w:rsid w:val="0070007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700077"/>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00077"/>
    <w:rPr>
      <w:rFonts w:asciiTheme="majorHAnsi" w:eastAsiaTheme="majorEastAsia" w:hAnsiTheme="majorHAnsi" w:cstheme="majorBidi"/>
      <w:spacing w:val="-10"/>
      <w:kern w:val="28"/>
      <w:sz w:val="56"/>
      <w:szCs w:val="56"/>
      <w:lang w:eastAsia="zh-TW"/>
    </w:rPr>
  </w:style>
  <w:style w:type="paragraph" w:styleId="Header">
    <w:name w:val="header"/>
    <w:basedOn w:val="Normal"/>
    <w:link w:val="HeaderChar"/>
    <w:uiPriority w:val="99"/>
    <w:unhideWhenUsed/>
    <w:rsid w:val="00700077"/>
    <w:pPr>
      <w:tabs>
        <w:tab w:val="center" w:pos="4680"/>
        <w:tab w:val="right" w:pos="9360"/>
      </w:tabs>
    </w:pPr>
  </w:style>
  <w:style w:type="character" w:customStyle="1" w:styleId="HeaderChar">
    <w:name w:val="Header Char"/>
    <w:basedOn w:val="DefaultParagraphFont"/>
    <w:link w:val="Header"/>
    <w:uiPriority w:val="99"/>
    <w:rsid w:val="00700077"/>
    <w:rPr>
      <w:rFonts w:ascii="Times New Roman" w:eastAsia="Times New Roman" w:hAnsi="Times New Roman" w:cs="Times New Roman"/>
      <w:sz w:val="24"/>
      <w:szCs w:val="20"/>
      <w:lang w:eastAsia="zh-TW"/>
    </w:rPr>
  </w:style>
  <w:style w:type="paragraph" w:styleId="Footer">
    <w:name w:val="footer"/>
    <w:basedOn w:val="Normal"/>
    <w:link w:val="FooterChar"/>
    <w:uiPriority w:val="99"/>
    <w:unhideWhenUsed/>
    <w:rsid w:val="00700077"/>
    <w:pPr>
      <w:tabs>
        <w:tab w:val="center" w:pos="4680"/>
        <w:tab w:val="right" w:pos="9360"/>
      </w:tabs>
    </w:pPr>
  </w:style>
  <w:style w:type="character" w:customStyle="1" w:styleId="FooterChar">
    <w:name w:val="Footer Char"/>
    <w:basedOn w:val="DefaultParagraphFont"/>
    <w:link w:val="Footer"/>
    <w:uiPriority w:val="99"/>
    <w:rsid w:val="00700077"/>
    <w:rPr>
      <w:rFonts w:ascii="Times New Roman" w:eastAsia="Times New Roman" w:hAnsi="Times New Roman" w:cs="Times New Roman"/>
      <w:sz w:val="24"/>
      <w:szCs w:val="20"/>
      <w:lang w:eastAsia="zh-TW"/>
    </w:rPr>
  </w:style>
  <w:style w:type="paragraph" w:styleId="BalloonText">
    <w:name w:val="Balloon Text"/>
    <w:basedOn w:val="Normal"/>
    <w:link w:val="BalloonTextChar"/>
    <w:uiPriority w:val="99"/>
    <w:semiHidden/>
    <w:unhideWhenUsed/>
    <w:rsid w:val="00DE0E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E0E13"/>
    <w:rPr>
      <w:rFonts w:ascii="Segoe UI" w:eastAsia="Times New Roman" w:hAnsi="Segoe UI" w:cs="Segoe UI"/>
      <w:sz w:val="18"/>
      <w:szCs w:val="18"/>
      <w:lang w:eastAsia="zh-TW"/>
    </w:rPr>
  </w:style>
  <w:style w:type="paragraph" w:styleId="FootnoteText">
    <w:name w:val="footnote text"/>
    <w:basedOn w:val="Normal"/>
    <w:link w:val="FootnoteTextChar"/>
    <w:uiPriority w:val="99"/>
    <w:unhideWhenUsed/>
    <w:rsid w:val="00457FD4"/>
    <w:pPr>
      <w:jc w:val="left"/>
    </w:pPr>
    <w:rPr>
      <w:rFonts w:asciiTheme="minorHAnsi" w:eastAsiaTheme="minorHAnsi" w:hAnsiTheme="minorHAnsi" w:cstheme="minorBidi"/>
      <w:sz w:val="20"/>
      <w:lang w:eastAsia="en-US"/>
    </w:rPr>
  </w:style>
  <w:style w:type="character" w:customStyle="1" w:styleId="FootnoteTextChar">
    <w:name w:val="Footnote Text Char"/>
    <w:basedOn w:val="DefaultParagraphFont"/>
    <w:link w:val="FootnoteText"/>
    <w:uiPriority w:val="99"/>
    <w:rsid w:val="00457FD4"/>
    <w:rPr>
      <w:sz w:val="20"/>
      <w:szCs w:val="20"/>
    </w:rPr>
  </w:style>
  <w:style w:type="character" w:styleId="FootnoteReference">
    <w:name w:val="footnote reference"/>
    <w:basedOn w:val="DefaultParagraphFont"/>
    <w:uiPriority w:val="99"/>
    <w:semiHidden/>
    <w:unhideWhenUsed/>
    <w:rsid w:val="00457FD4"/>
    <w:rPr>
      <w:vertAlign w:val="superscript"/>
    </w:rPr>
  </w:style>
  <w:style w:type="paragraph" w:styleId="ListParagraph">
    <w:name w:val="List Paragraph"/>
    <w:basedOn w:val="Normal"/>
    <w:uiPriority w:val="34"/>
    <w:qFormat/>
    <w:rsid w:val="00457FD4"/>
    <w:pPr>
      <w:ind w:left="720"/>
      <w:contextualSpacing/>
    </w:pPr>
  </w:style>
  <w:style w:type="paragraph" w:styleId="NormalWeb">
    <w:name w:val="Normal (Web)"/>
    <w:basedOn w:val="Normal"/>
    <w:uiPriority w:val="99"/>
    <w:semiHidden/>
    <w:unhideWhenUsed/>
    <w:rsid w:val="000D04A5"/>
    <w:pPr>
      <w:spacing w:before="100" w:beforeAutospacing="1" w:after="100" w:afterAutospacing="1"/>
      <w:jc w:val="left"/>
    </w:pPr>
    <w:rPr>
      <w:szCs w:val="24"/>
      <w:lang w:eastAsia="en-US"/>
    </w:rPr>
  </w:style>
  <w:style w:type="character" w:customStyle="1" w:styleId="cite">
    <w:name w:val="cite"/>
    <w:basedOn w:val="DefaultParagraphFont"/>
    <w:rsid w:val="000D04A5"/>
  </w:style>
  <w:style w:type="character" w:styleId="Hyperlink">
    <w:name w:val="Hyperlink"/>
    <w:basedOn w:val="DefaultParagraphFont"/>
    <w:uiPriority w:val="99"/>
    <w:semiHidden/>
    <w:unhideWhenUsed/>
    <w:rsid w:val="000D04A5"/>
    <w:rPr>
      <w:color w:val="0000FF"/>
      <w:u w:val="single"/>
    </w:rPr>
  </w:style>
  <w:style w:type="character" w:customStyle="1" w:styleId="Heading1Char">
    <w:name w:val="Heading 1 Char"/>
    <w:basedOn w:val="DefaultParagraphFont"/>
    <w:link w:val="Heading1"/>
    <w:rsid w:val="005C7B4E"/>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5C7B4E"/>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5C7B4E"/>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5C7B4E"/>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5C7B4E"/>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5C7B4E"/>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5C7B4E"/>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5C7B4E"/>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5C7B4E"/>
    <w:rPr>
      <w:rFonts w:ascii="Times New Roman" w:eastAsiaTheme="majorEastAsia" w:hAnsi="Times New Roman" w:cstheme="majorBidi"/>
      <w:b/>
      <w:i/>
      <w:iCs/>
      <w:sz w:val="24"/>
      <w:szCs w:val="21"/>
      <w:u w:val="single"/>
    </w:rPr>
  </w:style>
  <w:style w:type="paragraph" w:styleId="BodyText">
    <w:name w:val="Body Text"/>
    <w:basedOn w:val="Normal"/>
    <w:link w:val="BodyTextChar"/>
    <w:rsid w:val="005C7B4E"/>
    <w:pPr>
      <w:tabs>
        <w:tab w:val="left" w:pos="720"/>
        <w:tab w:val="left" w:pos="1440"/>
        <w:tab w:val="left" w:pos="2160"/>
        <w:tab w:val="left" w:pos="2880"/>
        <w:tab w:val="left" w:pos="4954"/>
        <w:tab w:val="left" w:pos="5760"/>
        <w:tab w:val="left" w:pos="7027"/>
      </w:tabs>
      <w:spacing w:line="360" w:lineRule="auto"/>
    </w:pPr>
    <w:rPr>
      <w:lang w:eastAsia="en-US"/>
    </w:rPr>
  </w:style>
  <w:style w:type="character" w:customStyle="1" w:styleId="BodyTextChar">
    <w:name w:val="Body Text Char"/>
    <w:basedOn w:val="DefaultParagraphFont"/>
    <w:link w:val="BodyText"/>
    <w:rsid w:val="005C7B4E"/>
    <w:rPr>
      <w:rFonts w:ascii="Times New Roman" w:eastAsia="Times New Roman" w:hAnsi="Times New Roman" w:cs="Times New Roman"/>
      <w:sz w:val="24"/>
      <w:szCs w:val="20"/>
    </w:rPr>
  </w:style>
  <w:style w:type="paragraph" w:customStyle="1" w:styleId="FOFNumbered">
    <w:name w:val="FOF Numbered"/>
    <w:basedOn w:val="Normal"/>
    <w:link w:val="FOFNumberedChar"/>
    <w:qFormat/>
    <w:rsid w:val="005C7B4E"/>
    <w:pPr>
      <w:numPr>
        <w:numId w:val="3"/>
      </w:numPr>
      <w:spacing w:before="120" w:line="360" w:lineRule="auto"/>
    </w:pPr>
    <w:rPr>
      <w:snapToGrid w:val="0"/>
      <w:lang w:eastAsia="en-US"/>
    </w:rPr>
  </w:style>
  <w:style w:type="paragraph" w:customStyle="1" w:styleId="COLNumbered">
    <w:name w:val="COL Numbered"/>
    <w:basedOn w:val="FOFNumbered"/>
    <w:uiPriority w:val="2"/>
    <w:qFormat/>
    <w:rsid w:val="005C7B4E"/>
    <w:pPr>
      <w:numPr>
        <w:numId w:val="5"/>
      </w:numPr>
    </w:pPr>
  </w:style>
  <w:style w:type="paragraph" w:customStyle="1" w:styleId="OrderingParagraph">
    <w:name w:val="Ordering Paragraph"/>
    <w:basedOn w:val="FOFNumbered"/>
    <w:link w:val="OrderingParagraphChar"/>
    <w:uiPriority w:val="2"/>
    <w:qFormat/>
    <w:rsid w:val="005C7B4E"/>
    <w:pPr>
      <w:numPr>
        <w:numId w:val="6"/>
      </w:numPr>
    </w:pPr>
  </w:style>
  <w:style w:type="character" w:customStyle="1" w:styleId="FOFNumberedChar">
    <w:name w:val="FOF Numbered Char"/>
    <w:basedOn w:val="DefaultParagraphFont"/>
    <w:link w:val="FOFNumbered"/>
    <w:rsid w:val="005C7B4E"/>
    <w:rPr>
      <w:rFonts w:ascii="Times New Roman" w:eastAsia="Times New Roman" w:hAnsi="Times New Roman" w:cs="Times New Roman"/>
      <w:snapToGrid w:val="0"/>
      <w:sz w:val="24"/>
      <w:szCs w:val="20"/>
    </w:rPr>
  </w:style>
  <w:style w:type="character" w:customStyle="1" w:styleId="OrderingParagraphChar">
    <w:name w:val="Ordering Paragraph Char"/>
    <w:basedOn w:val="DefaultParagraphFont"/>
    <w:link w:val="OrderingParagraph"/>
    <w:uiPriority w:val="2"/>
    <w:rsid w:val="005C7B4E"/>
    <w:rPr>
      <w:rFonts w:ascii="Times New Roman" w:eastAsia="Times New Roman" w:hAnsi="Times New Roman" w:cs="Times New Roman"/>
      <w:snapToGrid w:val="0"/>
      <w:sz w:val="24"/>
      <w:szCs w:val="20"/>
    </w:rPr>
  </w:style>
  <w:style w:type="paragraph" w:customStyle="1" w:styleId="Signatures">
    <w:name w:val="Signatures"/>
    <w:basedOn w:val="Normal"/>
    <w:link w:val="SignaturesChar"/>
    <w:uiPriority w:val="4"/>
    <w:rsid w:val="00CD11BB"/>
    <w:pPr>
      <w:keepLines/>
      <w:ind w:left="3744"/>
      <w:jc w:val="left"/>
    </w:pPr>
    <w:rPr>
      <w:rFonts w:eastAsia="Calibri"/>
      <w:b/>
      <w:szCs w:val="24"/>
      <w:lang w:eastAsia="en-US"/>
    </w:rPr>
  </w:style>
  <w:style w:type="paragraph" w:customStyle="1" w:styleId="Dateline">
    <w:name w:val="Dateline"/>
    <w:basedOn w:val="Normal"/>
    <w:link w:val="DatelineChar"/>
    <w:uiPriority w:val="3"/>
    <w:rsid w:val="00CD11BB"/>
    <w:pPr>
      <w:keepNext/>
      <w:ind w:left="720"/>
      <w:jc w:val="left"/>
    </w:pPr>
    <w:rPr>
      <w:rFonts w:eastAsia="Calibri"/>
      <w:b/>
      <w:szCs w:val="24"/>
      <w:lang w:eastAsia="en-US"/>
    </w:rPr>
  </w:style>
  <w:style w:type="character" w:customStyle="1" w:styleId="SignaturesChar">
    <w:name w:val="Signatures Char"/>
    <w:link w:val="Signatures"/>
    <w:uiPriority w:val="4"/>
    <w:rsid w:val="00CD11BB"/>
    <w:rPr>
      <w:rFonts w:ascii="Times New Roman" w:eastAsia="Calibri" w:hAnsi="Times New Roman" w:cs="Times New Roman"/>
      <w:b/>
      <w:sz w:val="24"/>
      <w:szCs w:val="24"/>
    </w:rPr>
  </w:style>
  <w:style w:type="character" w:customStyle="1" w:styleId="DatelineChar">
    <w:name w:val="Dateline Char"/>
    <w:link w:val="Dateline"/>
    <w:uiPriority w:val="3"/>
    <w:rsid w:val="00CD11BB"/>
    <w:rPr>
      <w:rFonts w:ascii="Times New Roman" w:eastAsia="Calibri"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9804743">
      <w:bodyDiv w:val="1"/>
      <w:marLeft w:val="0"/>
      <w:marRight w:val="0"/>
      <w:marTop w:val="0"/>
      <w:marBottom w:val="0"/>
      <w:divBdr>
        <w:top w:val="none" w:sz="0" w:space="0" w:color="auto"/>
        <w:left w:val="none" w:sz="0" w:space="0" w:color="auto"/>
        <w:bottom w:val="none" w:sz="0" w:space="0" w:color="auto"/>
        <w:right w:val="none" w:sz="0" w:space="0" w:color="auto"/>
      </w:divBdr>
    </w:div>
    <w:div w:id="1242369450">
      <w:bodyDiv w:val="1"/>
      <w:marLeft w:val="0"/>
      <w:marRight w:val="0"/>
      <w:marTop w:val="0"/>
      <w:marBottom w:val="0"/>
      <w:divBdr>
        <w:top w:val="none" w:sz="0" w:space="0" w:color="auto"/>
        <w:left w:val="none" w:sz="0" w:space="0" w:color="auto"/>
        <w:bottom w:val="none" w:sz="0" w:space="0" w:color="auto"/>
        <w:right w:val="none" w:sz="0" w:space="0" w:color="auto"/>
      </w:divBdr>
      <w:divsChild>
        <w:div w:id="15540058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AA2CA-86A6-4124-8172-F25A865E9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4</Pages>
  <Words>925</Words>
  <Characters>5277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6190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Montelongo, Irene</dc:creator>
  <cp:keywords/>
  <dc:description/>
  <cp:lastModifiedBy>Gonzales, Adriana</cp:lastModifiedBy>
  <cp:revision>23</cp:revision>
  <cp:lastPrinted>2018-03-08T16:36:00Z</cp:lastPrinted>
  <dcterms:created xsi:type="dcterms:W3CDTF">2017-09-29T19:45:00Z</dcterms:created>
  <dcterms:modified xsi:type="dcterms:W3CDTF">2018-03-08T19:19:00Z</dcterms:modified>
</cp:coreProperties>
</file>